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993" w:rsidRDefault="00E71551" w:rsidP="00095993">
      <w:pPr>
        <w:suppressLineNumbers/>
      </w:pPr>
    </w:p>
    <w:tbl>
      <w:tblPr>
        <w:bidiVisual/>
        <w:tblW w:w="9365" w:type="dxa"/>
        <w:jc w:val="center"/>
        <w:tblLook w:val="04A0" w:firstRow="1" w:lastRow="0" w:firstColumn="1" w:lastColumn="0" w:noHBand="0" w:noVBand="1"/>
      </w:tblPr>
      <w:tblGrid>
        <w:gridCol w:w="9365"/>
      </w:tblGrid>
      <w:tr w:rsidR="00095993" w:rsidTr="00095993">
        <w:trPr>
          <w:trHeight w:val="360"/>
          <w:jc w:val="center"/>
        </w:trPr>
        <w:tc>
          <w:tcPr>
            <w:tcW w:w="9365" w:type="dxa"/>
            <w:hideMark/>
          </w:tcPr>
          <w:p w:rsidR="00095993" w:rsidRDefault="008233BC">
            <w:pPr>
              <w:suppressLineNumbers/>
              <w:spacing w:line="480" w:lineRule="auto"/>
              <w:ind w:left="319"/>
              <w:rPr>
                <w:b/>
                <w:bCs/>
              </w:rPr>
            </w:pPr>
            <w:r>
              <w:rPr>
                <w:rFonts w:hint="cs"/>
                <w:b/>
                <w:bCs/>
                <w:rtl/>
              </w:rPr>
              <w:t>לפני כבוד ה</w:t>
            </w:r>
            <w:sdt>
              <w:sdtPr>
                <w:rPr>
                  <w:rFonts w:hint="cs"/>
                  <w:rtl/>
                </w:rPr>
                <w:alias w:val="165"/>
                <w:tag w:val="165"/>
                <w:id w:val="584732177"/>
                <w:text w:multiLine="1"/>
              </w:sdtPr>
              <w:sdtEndPr/>
              <w:sdtContent>
                <w:r>
                  <w:rPr>
                    <w:rFonts w:hint="cs"/>
                    <w:b/>
                    <w:bCs/>
                    <w:rtl/>
                  </w:rPr>
                  <w:t>שופט חננאל שרעבי</w:t>
                </w:r>
              </w:sdtContent>
            </w:sdt>
          </w:p>
        </w:tc>
      </w:tr>
    </w:tbl>
    <w:tbl>
      <w:tblPr>
        <w:tblStyle w:val="a9"/>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095993" w:rsidTr="003454F0">
        <w:tc>
          <w:tcPr>
            <w:tcW w:w="3246" w:type="dxa"/>
          </w:tcPr>
          <w:p w:rsidR="00095993" w:rsidRDefault="00E71551">
            <w:pPr>
              <w:suppressLineNumbers/>
              <w:rPr>
                <w:rFonts w:ascii="David" w:eastAsia="David" w:hAnsi="David"/>
                <w:b/>
                <w:bCs/>
              </w:rPr>
            </w:pPr>
          </w:p>
          <w:p w:rsidR="00095993" w:rsidRDefault="008233BC" w:rsidP="003454F0">
            <w:pPr>
              <w:suppressLineNumbers/>
              <w:ind w:left="514"/>
              <w:rPr>
                <w:rFonts w:ascii="David" w:eastAsia="David" w:hAnsi="David"/>
                <w:b/>
                <w:bCs/>
                <w:rtl/>
              </w:rPr>
            </w:pPr>
            <w:r>
              <w:rPr>
                <w:rFonts w:ascii="David" w:eastAsia="David" w:hAnsi="David" w:hint="cs"/>
                <w:b/>
                <w:bCs/>
                <w:rtl/>
              </w:rPr>
              <w:t>ה</w:t>
            </w:r>
            <w:sdt>
              <w:sdtPr>
                <w:rPr>
                  <w:b/>
                  <w:bCs/>
                  <w:rtl/>
                </w:rPr>
                <w:alias w:val="1264"/>
                <w:tag w:val="1264"/>
                <w:id w:val="748628538"/>
                <w:placeholder>
                  <w:docPart w:val="BB2EC4E2E6344473B14961396DFF1BF6"/>
                </w:placeholder>
                <w:text w:multiLine="1"/>
              </w:sdtPr>
              <w:sdtEndPr/>
              <w:sdtContent>
                <w:r>
                  <w:rPr>
                    <w:rFonts w:ascii="David" w:eastAsia="David" w:hAnsi="David"/>
                    <w:b/>
                    <w:bCs/>
                    <w:rtl/>
                  </w:rPr>
                  <w:t>תובע</w:t>
                </w:r>
              </w:sdtContent>
            </w:sdt>
          </w:p>
        </w:tc>
        <w:tc>
          <w:tcPr>
            <w:tcW w:w="5734" w:type="dxa"/>
          </w:tcPr>
          <w:p w:rsidR="00095993" w:rsidRDefault="00E71551">
            <w:pPr>
              <w:suppressLineNumbers/>
              <w:rPr>
                <w:b/>
                <w:bCs/>
                <w:rtl/>
              </w:rPr>
            </w:pPr>
          </w:p>
          <w:p w:rsidR="00095993" w:rsidRDefault="008233BC" w:rsidP="00C766A6">
            <w:pPr>
              <w:suppressLineNumbers/>
              <w:rPr>
                <w:rtl/>
              </w:rPr>
            </w:pPr>
            <w:r>
              <w:rPr>
                <w:rFonts w:ascii="David" w:eastAsia="David" w:hAnsi="David" w:hint="cs"/>
                <w:b/>
                <w:bCs/>
                <w:rtl/>
              </w:rPr>
              <w:t xml:space="preserve"> </w:t>
            </w:r>
            <w:r w:rsidR="00C766A6">
              <w:rPr>
                <w:rFonts w:ascii="David" w:eastAsia="David" w:hAnsi="David" w:hint="cs"/>
                <w:b/>
                <w:bCs/>
                <w:rtl/>
              </w:rPr>
              <w:t>א. א</w:t>
            </w:r>
          </w:p>
          <w:p w:rsidR="00095993" w:rsidRDefault="00E71551">
            <w:pPr>
              <w:suppressLineNumbers/>
              <w:rPr>
                <w:rFonts w:ascii="David" w:eastAsia="David" w:hAnsi="David"/>
                <w:b/>
                <w:bCs/>
              </w:rPr>
            </w:pPr>
          </w:p>
        </w:tc>
      </w:tr>
      <w:tr w:rsidR="00095993" w:rsidTr="003454F0">
        <w:tc>
          <w:tcPr>
            <w:tcW w:w="8980" w:type="dxa"/>
            <w:gridSpan w:val="2"/>
          </w:tcPr>
          <w:p w:rsidR="00095993" w:rsidRDefault="00E71551">
            <w:pPr>
              <w:suppressLineNumbers/>
              <w:rPr>
                <w:rFonts w:ascii="David" w:eastAsia="David" w:hAnsi="David"/>
                <w:b/>
                <w:bCs/>
                <w:rtl/>
              </w:rPr>
            </w:pPr>
          </w:p>
          <w:p w:rsidR="00095993" w:rsidRDefault="008233BC" w:rsidP="003454F0">
            <w:pPr>
              <w:suppressLineNumbers/>
              <w:spacing w:after="240"/>
              <w:jc w:val="center"/>
              <w:rPr>
                <w:rFonts w:ascii="David" w:eastAsia="David" w:hAnsi="David"/>
                <w:b/>
                <w:bCs/>
                <w:rtl/>
              </w:rPr>
            </w:pPr>
            <w:r>
              <w:rPr>
                <w:rFonts w:ascii="David" w:eastAsia="David" w:hAnsi="David" w:hint="cs"/>
                <w:b/>
                <w:bCs/>
                <w:rtl/>
              </w:rPr>
              <w:t>נגד</w:t>
            </w:r>
          </w:p>
          <w:p w:rsidR="00095993" w:rsidRDefault="00E71551">
            <w:pPr>
              <w:suppressLineNumbers/>
              <w:rPr>
                <w:rFonts w:ascii="David" w:eastAsia="David" w:hAnsi="David"/>
                <w:b/>
                <w:bCs/>
                <w:rtl/>
              </w:rPr>
            </w:pPr>
          </w:p>
        </w:tc>
      </w:tr>
      <w:tr w:rsidR="00095993" w:rsidTr="003454F0">
        <w:trPr>
          <w:trHeight w:val="515"/>
        </w:trPr>
        <w:tc>
          <w:tcPr>
            <w:tcW w:w="3246" w:type="dxa"/>
            <w:hideMark/>
          </w:tcPr>
          <w:p w:rsidR="00095993" w:rsidRDefault="008233BC" w:rsidP="003454F0">
            <w:pPr>
              <w:suppressLineNumbers/>
              <w:ind w:left="514"/>
              <w:rPr>
                <w:rFonts w:ascii="David" w:eastAsia="David" w:hAnsi="David"/>
                <w:b/>
                <w:bCs/>
                <w:rtl/>
              </w:rPr>
            </w:pPr>
            <w:r>
              <w:rPr>
                <w:rFonts w:ascii="David" w:eastAsia="David" w:hAnsi="David" w:hint="cs"/>
                <w:b/>
                <w:bCs/>
                <w:rtl/>
              </w:rPr>
              <w:t>ה</w:t>
            </w:r>
            <w:sdt>
              <w:sdtPr>
                <w:rPr>
                  <w:b/>
                  <w:bCs/>
                  <w:rtl/>
                </w:rPr>
                <w:alias w:val="1265"/>
                <w:tag w:val="1265"/>
                <w:id w:val="15438151"/>
                <w:text/>
              </w:sdtPr>
              <w:sdtEndPr/>
              <w:sdtContent>
                <w:r>
                  <w:rPr>
                    <w:rFonts w:ascii="David" w:eastAsia="David" w:hAnsi="David"/>
                    <w:b/>
                    <w:bCs/>
                    <w:rtl/>
                  </w:rPr>
                  <w:t>נתבעת</w:t>
                </w:r>
              </w:sdtContent>
            </w:sdt>
          </w:p>
        </w:tc>
        <w:tc>
          <w:tcPr>
            <w:tcW w:w="5734" w:type="dxa"/>
            <w:hideMark/>
          </w:tcPr>
          <w:p w:rsidR="00095993" w:rsidRDefault="00C766A6" w:rsidP="008C7177">
            <w:pPr>
              <w:suppressLineNumbers/>
              <w:spacing w:after="120"/>
              <w:rPr>
                <w:b/>
                <w:bCs/>
                <w:rtl/>
              </w:rPr>
            </w:pPr>
            <w:r>
              <w:rPr>
                <w:rFonts w:hint="cs"/>
                <w:b/>
                <w:bCs/>
                <w:rtl/>
              </w:rPr>
              <w:t>ע. א</w:t>
            </w:r>
          </w:p>
          <w:p w:rsidR="008C7177" w:rsidRDefault="008C7177" w:rsidP="003454F0">
            <w:pPr>
              <w:suppressLineNumbers/>
              <w:rPr>
                <w:rFonts w:ascii="David" w:eastAsia="David" w:hAnsi="David"/>
                <w:b/>
                <w:bCs/>
                <w:rtl/>
              </w:rPr>
            </w:pPr>
            <w:r>
              <w:rPr>
                <w:rFonts w:ascii="David" w:eastAsia="David" w:hAnsi="David" w:hint="cs"/>
                <w:b/>
                <w:bCs/>
                <w:rtl/>
              </w:rPr>
              <w:t xml:space="preserve">ע"י ב"כ עו"ד אריאל יום טוב </w:t>
            </w:r>
            <w:r>
              <w:rPr>
                <w:rFonts w:ascii="David" w:eastAsia="David" w:hAnsi="David"/>
                <w:b/>
                <w:bCs/>
                <w:rtl/>
              </w:rPr>
              <w:t>–</w:t>
            </w:r>
            <w:r>
              <w:rPr>
                <w:rFonts w:ascii="David" w:eastAsia="David" w:hAnsi="David" w:hint="cs"/>
                <w:b/>
                <w:bCs/>
                <w:rtl/>
              </w:rPr>
              <w:t xml:space="preserve"> במינוי לפי חוק הסיוע המשפטי </w:t>
            </w:r>
          </w:p>
        </w:tc>
      </w:tr>
    </w:tbl>
    <w:p w:rsidR="001434F7" w:rsidRDefault="00E71551"/>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8C7177" w:rsidRDefault="008C7177" w:rsidP="008C7177">
            <w:pPr>
              <w:bidi w:val="0"/>
              <w:jc w:val="center"/>
              <w:rPr>
                <w:rFonts w:ascii="Arial" w:hAnsi="Arial"/>
                <w:b/>
                <w:bCs/>
                <w:noProof w:val="0"/>
                <w:sz w:val="28"/>
                <w:szCs w:val="28"/>
                <w:u w:val="single"/>
              </w:rPr>
            </w:pPr>
          </w:p>
          <w:p w:rsidR="008C7177" w:rsidRDefault="003E38C7" w:rsidP="008C7177">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3454F0" w:rsidRDefault="003454F0" w:rsidP="003454F0">
      <w:pPr>
        <w:spacing w:after="120" w:line="360" w:lineRule="auto"/>
        <w:ind w:left="-1"/>
        <w:jc w:val="both"/>
        <w:rPr>
          <w:rFonts w:ascii="David" w:hAnsi="David"/>
          <w:rtl/>
        </w:rPr>
      </w:pPr>
      <w:bookmarkStart w:id="0" w:name="NGCSBookmark"/>
      <w:bookmarkEnd w:id="0"/>
      <w:r>
        <w:rPr>
          <w:rFonts w:ascii="David" w:hAnsi="David" w:hint="cs"/>
          <w:rtl/>
        </w:rPr>
        <w:t>עסקינן בתביעה לביטול פסק דין שנתן תוקף להסכם פשרה שהושג בין הצדדים, במסגרת ערעור על פסק דינו של בית משפט לענייני משפחה (עמ"ש 29460-07-23), הכל כפי שיפורט להלן.</w:t>
      </w:r>
    </w:p>
    <w:p w:rsidR="003454F0" w:rsidRDefault="003454F0" w:rsidP="003454F0">
      <w:pPr>
        <w:spacing w:after="120" w:line="360" w:lineRule="auto"/>
        <w:ind w:left="566" w:hanging="567"/>
        <w:jc w:val="both"/>
        <w:rPr>
          <w:rFonts w:ascii="David" w:hAnsi="David"/>
          <w:rtl/>
        </w:rPr>
      </w:pPr>
    </w:p>
    <w:p w:rsidR="003454F0" w:rsidRPr="008D2D26" w:rsidRDefault="003454F0" w:rsidP="003454F0">
      <w:pPr>
        <w:spacing w:after="120" w:line="360" w:lineRule="auto"/>
        <w:ind w:left="566" w:hanging="567"/>
        <w:jc w:val="both"/>
        <w:rPr>
          <w:rFonts w:ascii="David" w:hAnsi="David"/>
          <w:b/>
          <w:bCs/>
          <w:u w:val="single"/>
          <w:rtl/>
        </w:rPr>
      </w:pPr>
      <w:r w:rsidRPr="008D2D26">
        <w:rPr>
          <w:rFonts w:ascii="David" w:hAnsi="David" w:hint="cs"/>
          <w:b/>
          <w:bCs/>
          <w:u w:val="single"/>
          <w:rtl/>
        </w:rPr>
        <w:t>רקע</w:t>
      </w:r>
    </w:p>
    <w:p w:rsidR="003454F0" w:rsidRDefault="003454F0" w:rsidP="003454F0">
      <w:pPr>
        <w:spacing w:after="120" w:line="360" w:lineRule="auto"/>
        <w:ind w:left="566" w:hanging="567"/>
        <w:jc w:val="both"/>
        <w:rPr>
          <w:rFonts w:ascii="David" w:hAnsi="David"/>
          <w:rtl/>
        </w:rPr>
      </w:pPr>
      <w:r>
        <w:rPr>
          <w:rFonts w:ascii="David" w:hAnsi="David" w:hint="cs"/>
          <w:rtl/>
        </w:rPr>
        <w:t>1.</w:t>
      </w:r>
      <w:r>
        <w:rPr>
          <w:rFonts w:ascii="David" w:hAnsi="David" w:hint="cs"/>
          <w:rtl/>
        </w:rPr>
        <w:tab/>
        <w:t>התובע</w:t>
      </w:r>
      <w:r w:rsidRPr="00246D1A">
        <w:rPr>
          <w:rFonts w:ascii="David" w:hAnsi="David"/>
          <w:rtl/>
        </w:rPr>
        <w:t xml:space="preserve"> </w:t>
      </w:r>
      <w:r>
        <w:rPr>
          <w:rFonts w:ascii="David" w:hAnsi="David" w:hint="cs"/>
          <w:rtl/>
        </w:rPr>
        <w:t>והנתבעת</w:t>
      </w:r>
      <w:r w:rsidRPr="00246D1A">
        <w:rPr>
          <w:rFonts w:ascii="David" w:hAnsi="David"/>
          <w:rtl/>
        </w:rPr>
        <w:t xml:space="preserve"> הם בני זוג לשעבר ולהם ילד קטין, אשר </w:t>
      </w:r>
      <w:r>
        <w:rPr>
          <w:rFonts w:ascii="David" w:hAnsi="David" w:hint="cs"/>
          <w:rtl/>
        </w:rPr>
        <w:t>התובע</w:t>
      </w:r>
      <w:r w:rsidRPr="00246D1A">
        <w:rPr>
          <w:rFonts w:ascii="David" w:hAnsi="David"/>
          <w:rtl/>
        </w:rPr>
        <w:t xml:space="preserve"> נושא בתשלום מזונותיו</w:t>
      </w:r>
      <w:r>
        <w:rPr>
          <w:rFonts w:ascii="David" w:hAnsi="David" w:hint="cs"/>
          <w:rtl/>
        </w:rPr>
        <w:t xml:space="preserve"> לרבות מדורו</w:t>
      </w:r>
      <w:r w:rsidRPr="00246D1A">
        <w:rPr>
          <w:rFonts w:ascii="David" w:hAnsi="David"/>
          <w:rtl/>
        </w:rPr>
        <w:t xml:space="preserve"> (להלן: </w:t>
      </w:r>
      <w:r>
        <w:rPr>
          <w:rFonts w:ascii="David" w:hAnsi="David" w:hint="cs"/>
          <w:rtl/>
        </w:rPr>
        <w:t>"</w:t>
      </w:r>
      <w:r w:rsidRPr="00246D1A">
        <w:rPr>
          <w:rFonts w:ascii="David" w:hAnsi="David"/>
          <w:b/>
          <w:bCs/>
          <w:rtl/>
        </w:rPr>
        <w:t>דמי</w:t>
      </w:r>
      <w:r w:rsidRPr="00246D1A">
        <w:rPr>
          <w:rFonts w:ascii="David" w:hAnsi="David"/>
          <w:rtl/>
        </w:rPr>
        <w:t xml:space="preserve"> </w:t>
      </w:r>
      <w:r w:rsidRPr="00246D1A">
        <w:rPr>
          <w:rFonts w:ascii="David" w:hAnsi="David"/>
          <w:b/>
          <w:bCs/>
          <w:rtl/>
        </w:rPr>
        <w:t>המזונות</w:t>
      </w:r>
      <w:r>
        <w:rPr>
          <w:rFonts w:ascii="David" w:hAnsi="David" w:hint="cs"/>
          <w:rtl/>
        </w:rPr>
        <w:t>"</w:t>
      </w:r>
      <w:r w:rsidRPr="00246D1A">
        <w:rPr>
          <w:rFonts w:ascii="David" w:hAnsi="David"/>
          <w:rtl/>
        </w:rPr>
        <w:t xml:space="preserve">). </w:t>
      </w:r>
      <w:r>
        <w:rPr>
          <w:rFonts w:ascii="David" w:hAnsi="David" w:hint="cs"/>
          <w:rtl/>
        </w:rPr>
        <w:t>התובע</w:t>
      </w:r>
      <w:r w:rsidRPr="00246D1A">
        <w:rPr>
          <w:rFonts w:ascii="David" w:hAnsi="David"/>
          <w:rtl/>
        </w:rPr>
        <w:t xml:space="preserve"> הגיש לבית המשפט לענייני משפחה תביעה לה</w:t>
      </w:r>
      <w:r>
        <w:rPr>
          <w:rFonts w:ascii="David" w:hAnsi="David"/>
          <w:rtl/>
        </w:rPr>
        <w:t>פחתת דמי המזונות, במסגרתה טען</w:t>
      </w:r>
      <w:r>
        <w:rPr>
          <w:rFonts w:ascii="David" w:hAnsi="David" w:hint="cs"/>
          <w:rtl/>
        </w:rPr>
        <w:t xml:space="preserve"> </w:t>
      </w:r>
      <w:r w:rsidRPr="00246D1A">
        <w:rPr>
          <w:rFonts w:ascii="David" w:hAnsi="David"/>
          <w:rtl/>
        </w:rPr>
        <w:t xml:space="preserve">כי חלה הדרדרות במצבו הכלכלי, וכי חל שיפור משמעותי במצבה הכלכלי של </w:t>
      </w:r>
      <w:r>
        <w:rPr>
          <w:rFonts w:ascii="David" w:hAnsi="David" w:hint="cs"/>
          <w:rtl/>
        </w:rPr>
        <w:t>הנתבעת (</w:t>
      </w:r>
      <w:r w:rsidRPr="00246D1A">
        <w:rPr>
          <w:rFonts w:ascii="David" w:hAnsi="David"/>
          <w:rtl/>
        </w:rPr>
        <w:t>תלה"מ 49131-03-21</w:t>
      </w:r>
      <w:r>
        <w:rPr>
          <w:rFonts w:ascii="David" w:hAnsi="David" w:hint="cs"/>
          <w:rtl/>
        </w:rPr>
        <w:t>).</w:t>
      </w:r>
    </w:p>
    <w:p w:rsidR="003454F0" w:rsidRDefault="003454F0" w:rsidP="003454F0">
      <w:pPr>
        <w:spacing w:after="120" w:line="360" w:lineRule="auto"/>
        <w:ind w:left="566" w:hanging="567"/>
        <w:jc w:val="both"/>
        <w:rPr>
          <w:rFonts w:ascii="David" w:hAnsi="David"/>
          <w:rtl/>
        </w:rPr>
      </w:pPr>
      <w:r>
        <w:rPr>
          <w:rFonts w:ascii="David" w:hAnsi="David" w:hint="cs"/>
          <w:rtl/>
        </w:rPr>
        <w:t>2.</w:t>
      </w:r>
      <w:r>
        <w:rPr>
          <w:rFonts w:ascii="David" w:hAnsi="David" w:hint="cs"/>
          <w:rtl/>
        </w:rPr>
        <w:tab/>
      </w:r>
      <w:r w:rsidRPr="00246D1A">
        <w:rPr>
          <w:rFonts w:ascii="David" w:hAnsi="David"/>
          <w:rtl/>
        </w:rPr>
        <w:t>בית המשפט לענייני משפחה דחה את התביעה</w:t>
      </w:r>
      <w:r>
        <w:rPr>
          <w:rFonts w:ascii="David" w:hAnsi="David" w:hint="cs"/>
          <w:rtl/>
        </w:rPr>
        <w:t xml:space="preserve"> בפסק דין מיום 17.5.2023</w:t>
      </w:r>
      <w:r w:rsidRPr="00246D1A">
        <w:rPr>
          <w:rFonts w:ascii="David" w:hAnsi="David"/>
          <w:rtl/>
        </w:rPr>
        <w:t xml:space="preserve">, מן הטעם שלא עלה בידי </w:t>
      </w:r>
      <w:r>
        <w:rPr>
          <w:rFonts w:ascii="David" w:hAnsi="David" w:hint="cs"/>
          <w:rtl/>
        </w:rPr>
        <w:t>התובע</w:t>
      </w:r>
      <w:r w:rsidRPr="00246D1A">
        <w:rPr>
          <w:rFonts w:ascii="David" w:hAnsi="David"/>
          <w:rtl/>
        </w:rPr>
        <w:t xml:space="preserve"> להוכיח שינוי נסיבות מהותי המצדיק הפחתה בדמי המזונות. </w:t>
      </w:r>
    </w:p>
    <w:p w:rsidR="003454F0" w:rsidRDefault="003454F0" w:rsidP="003454F0">
      <w:pPr>
        <w:spacing w:after="120" w:line="360" w:lineRule="auto"/>
        <w:ind w:left="566" w:hanging="567"/>
        <w:jc w:val="both"/>
        <w:rPr>
          <w:rFonts w:ascii="David" w:hAnsi="David"/>
          <w:rtl/>
        </w:rPr>
      </w:pPr>
      <w:r>
        <w:rPr>
          <w:rFonts w:ascii="David" w:hAnsi="David" w:hint="cs"/>
          <w:rtl/>
        </w:rPr>
        <w:t>3.</w:t>
      </w:r>
      <w:r>
        <w:rPr>
          <w:rFonts w:ascii="David" w:hAnsi="David" w:hint="cs"/>
          <w:rtl/>
        </w:rPr>
        <w:tab/>
      </w:r>
      <w:r w:rsidRPr="00246D1A">
        <w:rPr>
          <w:rFonts w:ascii="David" w:hAnsi="David"/>
          <w:rtl/>
        </w:rPr>
        <w:t xml:space="preserve">על פסק דין זה הגיש </w:t>
      </w:r>
      <w:r>
        <w:rPr>
          <w:rFonts w:ascii="David" w:hAnsi="David" w:hint="cs"/>
          <w:rtl/>
        </w:rPr>
        <w:t>התובע</w:t>
      </w:r>
      <w:r w:rsidRPr="00246D1A">
        <w:rPr>
          <w:rFonts w:ascii="David" w:hAnsi="David"/>
          <w:rtl/>
        </w:rPr>
        <w:t xml:space="preserve"> ערעור לבית המשפט המחוזי</w:t>
      </w:r>
      <w:r>
        <w:rPr>
          <w:rFonts w:ascii="David" w:hAnsi="David" w:hint="cs"/>
          <w:rtl/>
        </w:rPr>
        <w:t xml:space="preserve"> (</w:t>
      </w:r>
      <w:r w:rsidRPr="00246D1A">
        <w:rPr>
          <w:rFonts w:ascii="David" w:hAnsi="David"/>
          <w:rtl/>
        </w:rPr>
        <w:t>עמ"ש 29460-07-23</w:t>
      </w:r>
      <w:r>
        <w:rPr>
          <w:rFonts w:ascii="David" w:hAnsi="David" w:hint="cs"/>
          <w:rtl/>
        </w:rPr>
        <w:t>), שנדון בפני הרכב כב' השופטים חננאל שרעבי [אב"ד], אספרנצה אלון ואריה נאמן (להלן: "</w:t>
      </w:r>
      <w:r w:rsidRPr="00246D1A">
        <w:rPr>
          <w:rFonts w:ascii="David" w:hAnsi="David" w:hint="cs"/>
          <w:b/>
          <w:bCs/>
          <w:rtl/>
        </w:rPr>
        <w:t>הערעור</w:t>
      </w:r>
      <w:r>
        <w:rPr>
          <w:rFonts w:ascii="David" w:hAnsi="David" w:hint="cs"/>
          <w:rtl/>
        </w:rPr>
        <w:t>").</w:t>
      </w:r>
    </w:p>
    <w:p w:rsidR="003454F0" w:rsidRDefault="003454F0" w:rsidP="003454F0">
      <w:pPr>
        <w:spacing w:after="120" w:line="360" w:lineRule="auto"/>
        <w:ind w:left="566" w:hanging="567"/>
        <w:jc w:val="both"/>
        <w:rPr>
          <w:rFonts w:ascii="David" w:hAnsi="David"/>
          <w:rtl/>
        </w:rPr>
      </w:pPr>
      <w:r>
        <w:rPr>
          <w:rFonts w:ascii="David" w:hAnsi="David"/>
          <w:rtl/>
        </w:rPr>
        <w:tab/>
      </w:r>
      <w:r w:rsidRPr="00246D1A">
        <w:rPr>
          <w:rFonts w:ascii="David" w:hAnsi="David"/>
          <w:rtl/>
        </w:rPr>
        <w:t>במהלך הדיון בערעור</w:t>
      </w:r>
      <w:r>
        <w:rPr>
          <w:rFonts w:ascii="David" w:hAnsi="David" w:hint="cs"/>
          <w:rtl/>
        </w:rPr>
        <w:t xml:space="preserve"> ביום 5.2.2024</w:t>
      </w:r>
      <w:r w:rsidRPr="00246D1A">
        <w:rPr>
          <w:rFonts w:ascii="David" w:hAnsi="David"/>
          <w:rtl/>
        </w:rPr>
        <w:t>, קיבלו הצדדים את המלצת בי</w:t>
      </w:r>
      <w:r>
        <w:rPr>
          <w:rFonts w:ascii="David" w:hAnsi="David"/>
          <w:rtl/>
        </w:rPr>
        <w:t>ת המשפט המחוזי, והסכימו על הפחת</w:t>
      </w:r>
      <w:r>
        <w:rPr>
          <w:rFonts w:ascii="David" w:hAnsi="David" w:hint="cs"/>
          <w:rtl/>
        </w:rPr>
        <w:t>ת</w:t>
      </w:r>
      <w:r>
        <w:rPr>
          <w:rFonts w:ascii="David" w:hAnsi="David"/>
          <w:rtl/>
        </w:rPr>
        <w:t xml:space="preserve"> </w:t>
      </w:r>
      <w:r w:rsidRPr="00246D1A">
        <w:rPr>
          <w:rFonts w:ascii="David" w:hAnsi="David"/>
          <w:rtl/>
        </w:rPr>
        <w:t>דמי המזונות</w:t>
      </w:r>
      <w:r>
        <w:rPr>
          <w:rFonts w:ascii="David" w:hAnsi="David" w:hint="cs"/>
          <w:rtl/>
        </w:rPr>
        <w:t xml:space="preserve"> בשיעור של 200 ₪, לאור העובדה כי שכרה של הנתבעת עלה מאז ניתן פסק הדין בבית משפט לענייני משפחה</w:t>
      </w:r>
      <w:r w:rsidRPr="00246D1A">
        <w:rPr>
          <w:rFonts w:ascii="David" w:hAnsi="David"/>
          <w:rtl/>
        </w:rPr>
        <w:t xml:space="preserve">. להסכמות אלו ניתן תוקף של פסק דין (להלן: </w:t>
      </w:r>
      <w:r>
        <w:rPr>
          <w:rFonts w:ascii="David" w:hAnsi="David" w:hint="cs"/>
          <w:rtl/>
        </w:rPr>
        <w:t>"</w:t>
      </w:r>
      <w:r>
        <w:rPr>
          <w:rFonts w:ascii="David" w:hAnsi="David"/>
          <w:b/>
          <w:bCs/>
          <w:rtl/>
        </w:rPr>
        <w:t>ה</w:t>
      </w:r>
      <w:r>
        <w:rPr>
          <w:rFonts w:ascii="David" w:hAnsi="David" w:hint="cs"/>
          <w:b/>
          <w:bCs/>
          <w:rtl/>
        </w:rPr>
        <w:t>סכם</w:t>
      </w:r>
      <w:r w:rsidRPr="00246D1A">
        <w:rPr>
          <w:rFonts w:ascii="David" w:hAnsi="David"/>
          <w:rtl/>
        </w:rPr>
        <w:t xml:space="preserve"> </w:t>
      </w:r>
      <w:r w:rsidRPr="00246D1A">
        <w:rPr>
          <w:rFonts w:ascii="David" w:hAnsi="David"/>
          <w:b/>
          <w:bCs/>
          <w:rtl/>
        </w:rPr>
        <w:t>הפשרה</w:t>
      </w:r>
      <w:r>
        <w:rPr>
          <w:rFonts w:ascii="David" w:hAnsi="David" w:hint="cs"/>
          <w:rtl/>
        </w:rPr>
        <w:t>"</w:t>
      </w:r>
      <w:r w:rsidRPr="00246D1A">
        <w:rPr>
          <w:rFonts w:ascii="David" w:hAnsi="David"/>
          <w:rtl/>
        </w:rPr>
        <w:t>).</w:t>
      </w:r>
    </w:p>
    <w:p w:rsidR="003454F0" w:rsidRDefault="003454F0" w:rsidP="003454F0">
      <w:pPr>
        <w:spacing w:after="120" w:line="360" w:lineRule="auto"/>
        <w:ind w:left="566" w:hanging="567"/>
        <w:jc w:val="both"/>
        <w:rPr>
          <w:rFonts w:ascii="David" w:hAnsi="David"/>
          <w:rtl/>
        </w:rPr>
      </w:pPr>
      <w:r>
        <w:rPr>
          <w:rFonts w:ascii="David" w:hAnsi="David" w:hint="cs"/>
          <w:rtl/>
        </w:rPr>
        <w:t>4.</w:t>
      </w:r>
      <w:r>
        <w:rPr>
          <w:rFonts w:ascii="David" w:hAnsi="David" w:hint="cs"/>
          <w:rtl/>
        </w:rPr>
        <w:tab/>
        <w:t xml:space="preserve">התובע הגיש בקשת רשות ערעור לבית המשפט העליון על פסק הדין של בית המשפט המחוזי, במסגרתו טען כי </w:t>
      </w:r>
      <w:r w:rsidRPr="00246D1A">
        <w:rPr>
          <w:rFonts w:ascii="David" w:hAnsi="David"/>
          <w:rtl/>
        </w:rPr>
        <w:t xml:space="preserve">הוא לא הבין את </w:t>
      </w:r>
      <w:r>
        <w:rPr>
          <w:rFonts w:ascii="David" w:hAnsi="David" w:hint="cs"/>
          <w:rtl/>
        </w:rPr>
        <w:t>הסכם</w:t>
      </w:r>
      <w:r w:rsidRPr="00246D1A">
        <w:rPr>
          <w:rFonts w:ascii="David" w:hAnsi="David"/>
          <w:rtl/>
        </w:rPr>
        <w:t xml:space="preserve"> הפשרה שהוצע, "</w:t>
      </w:r>
      <w:r>
        <w:rPr>
          <w:rFonts w:ascii="David" w:hAnsi="David"/>
          <w:rtl/>
        </w:rPr>
        <w:t xml:space="preserve">ולבטח מעולם לא הסכים" לו; </w:t>
      </w:r>
      <w:r w:rsidRPr="00246D1A">
        <w:rPr>
          <w:rFonts w:ascii="David" w:hAnsi="David"/>
          <w:rtl/>
        </w:rPr>
        <w:t>לפיכך, יש להורות על ביטול פסק דינו של בית המשפט המחוזי</w:t>
      </w:r>
      <w:r>
        <w:rPr>
          <w:rFonts w:ascii="David" w:hAnsi="David" w:hint="cs"/>
          <w:rtl/>
        </w:rPr>
        <w:t xml:space="preserve"> (</w:t>
      </w:r>
      <w:r w:rsidRPr="00246D1A">
        <w:rPr>
          <w:rFonts w:ascii="David" w:hAnsi="David"/>
          <w:rtl/>
        </w:rPr>
        <w:t>בע</w:t>
      </w:r>
      <w:r>
        <w:rPr>
          <w:rFonts w:ascii="David" w:hAnsi="David" w:hint="cs"/>
          <w:rtl/>
        </w:rPr>
        <w:t>"</w:t>
      </w:r>
      <w:r w:rsidRPr="00246D1A">
        <w:rPr>
          <w:rFonts w:ascii="David" w:hAnsi="David"/>
          <w:rtl/>
        </w:rPr>
        <w:t>מ 1726/24</w:t>
      </w:r>
      <w:r>
        <w:rPr>
          <w:rFonts w:ascii="David" w:hAnsi="David" w:hint="cs"/>
          <w:rtl/>
        </w:rPr>
        <w:t>)</w:t>
      </w:r>
      <w:r w:rsidRPr="00246D1A">
        <w:rPr>
          <w:rFonts w:ascii="David" w:hAnsi="David"/>
          <w:rtl/>
        </w:rPr>
        <w:t>.</w:t>
      </w:r>
      <w:r>
        <w:rPr>
          <w:rFonts w:ascii="David" w:hAnsi="David" w:hint="cs"/>
          <w:rtl/>
        </w:rPr>
        <w:t xml:space="preserve"> </w:t>
      </w:r>
    </w:p>
    <w:p w:rsidR="003454F0" w:rsidRDefault="003454F0" w:rsidP="003454F0">
      <w:pPr>
        <w:spacing w:after="120" w:line="360" w:lineRule="auto"/>
        <w:ind w:left="566" w:hanging="567"/>
        <w:jc w:val="both"/>
        <w:rPr>
          <w:rFonts w:ascii="David" w:hAnsi="David"/>
          <w:rtl/>
        </w:rPr>
      </w:pPr>
      <w:r>
        <w:rPr>
          <w:rFonts w:ascii="David" w:hAnsi="David"/>
          <w:rtl/>
        </w:rPr>
        <w:tab/>
      </w:r>
      <w:r>
        <w:rPr>
          <w:rFonts w:ascii="David" w:hAnsi="David" w:hint="cs"/>
          <w:rtl/>
        </w:rPr>
        <w:t xml:space="preserve">בהחלטתה מיום 11.3.2024, קבעה כב' השופטת יעל וילנר בבע"מ האמור, כי </w:t>
      </w:r>
      <w:r w:rsidRPr="00246D1A">
        <w:rPr>
          <w:rFonts w:ascii="David" w:hAnsi="David"/>
          <w:rtl/>
        </w:rPr>
        <w:t>דין הבקשה להימחק</w:t>
      </w:r>
      <w:r>
        <w:rPr>
          <w:rFonts w:ascii="David" w:hAnsi="David" w:hint="cs"/>
          <w:rtl/>
        </w:rPr>
        <w:t xml:space="preserve">, בנימוק כי </w:t>
      </w:r>
      <w:r w:rsidRPr="00246D1A">
        <w:rPr>
          <w:rFonts w:ascii="David" w:hAnsi="David"/>
          <w:rtl/>
        </w:rPr>
        <w:t xml:space="preserve">כאשר מבוקש לבטל </w:t>
      </w:r>
      <w:r>
        <w:rPr>
          <w:rFonts w:ascii="David" w:hAnsi="David"/>
          <w:rtl/>
        </w:rPr>
        <w:t xml:space="preserve">פסק </w:t>
      </w:r>
      <w:r w:rsidRPr="00246D1A">
        <w:rPr>
          <w:rFonts w:ascii="David" w:hAnsi="David"/>
          <w:rtl/>
        </w:rPr>
        <w:t xml:space="preserve">דין </w:t>
      </w:r>
      <w:r>
        <w:rPr>
          <w:rFonts w:ascii="David" w:hAnsi="David" w:hint="cs"/>
          <w:rtl/>
        </w:rPr>
        <w:t xml:space="preserve">שהושג בהסכמה, </w:t>
      </w:r>
      <w:r w:rsidRPr="00246D1A">
        <w:rPr>
          <w:rFonts w:ascii="David" w:hAnsi="David"/>
          <w:rtl/>
        </w:rPr>
        <w:t>בשל טענה הנוגעת לתוקף ההסכמה ש</w:t>
      </w:r>
      <w:r>
        <w:rPr>
          <w:rFonts w:ascii="David" w:hAnsi="David"/>
          <w:rtl/>
        </w:rPr>
        <w:t xml:space="preserve">נתן בעל-דין </w:t>
      </w:r>
      <w:r>
        <w:rPr>
          <w:rFonts w:ascii="David" w:hAnsi="David"/>
          <w:rtl/>
        </w:rPr>
        <w:lastRenderedPageBreak/>
        <w:t>לפשרה</w:t>
      </w:r>
      <w:r>
        <w:rPr>
          <w:rFonts w:ascii="David" w:hAnsi="David" w:hint="cs"/>
          <w:rtl/>
        </w:rPr>
        <w:t xml:space="preserve">, </w:t>
      </w:r>
      <w:r w:rsidRPr="00246D1A">
        <w:rPr>
          <w:rFonts w:ascii="David" w:hAnsi="David"/>
          <w:rtl/>
        </w:rPr>
        <w:t>ביטול פסק הדין ייעשה על דרך הגשת תביעה חדשה ועצמאית לביטול פסק הדין בפני בית המשפט המוסמך לכך</w:t>
      </w:r>
      <w:r>
        <w:rPr>
          <w:rFonts w:ascii="David" w:hAnsi="David" w:hint="cs"/>
          <w:rtl/>
        </w:rPr>
        <w:t>, ולא על ידי הגשת בקשת רשות ערעור.</w:t>
      </w:r>
    </w:p>
    <w:p w:rsidR="003454F0" w:rsidRDefault="003454F0" w:rsidP="003454F0">
      <w:pPr>
        <w:spacing w:after="120" w:line="360" w:lineRule="auto"/>
        <w:ind w:left="566" w:hanging="567"/>
        <w:jc w:val="both"/>
        <w:rPr>
          <w:rFonts w:ascii="David" w:hAnsi="David"/>
          <w:rtl/>
        </w:rPr>
      </w:pPr>
      <w:r>
        <w:rPr>
          <w:rFonts w:ascii="David" w:hAnsi="David" w:hint="cs"/>
          <w:rtl/>
        </w:rPr>
        <w:t>5.</w:t>
      </w:r>
      <w:r>
        <w:rPr>
          <w:rFonts w:ascii="David" w:hAnsi="David" w:hint="cs"/>
          <w:rtl/>
        </w:rPr>
        <w:tab/>
        <w:t xml:space="preserve">התובע פעל כאמור בהחלטת בית המשפט העליון לעיל, והגיש את התובענה שלפניי, לביטול הסכם הפשרה שקיבל תוקף של פסק דין כאמור בסעיף 3 לעיל. </w:t>
      </w:r>
    </w:p>
    <w:p w:rsidR="003454F0" w:rsidRDefault="003454F0" w:rsidP="003454F0">
      <w:pPr>
        <w:spacing w:after="120" w:line="360" w:lineRule="auto"/>
        <w:ind w:left="566" w:hanging="567"/>
        <w:jc w:val="both"/>
        <w:rPr>
          <w:rFonts w:ascii="David" w:hAnsi="David"/>
          <w:rtl/>
        </w:rPr>
      </w:pPr>
    </w:p>
    <w:p w:rsidR="003454F0" w:rsidRPr="008D2D26" w:rsidRDefault="003454F0" w:rsidP="003454F0">
      <w:pPr>
        <w:spacing w:after="120" w:line="360" w:lineRule="auto"/>
        <w:ind w:left="566" w:hanging="567"/>
        <w:jc w:val="both"/>
        <w:rPr>
          <w:rFonts w:ascii="David" w:hAnsi="David"/>
          <w:b/>
          <w:bCs/>
          <w:u w:val="single"/>
          <w:rtl/>
        </w:rPr>
      </w:pPr>
      <w:r>
        <w:rPr>
          <w:rFonts w:ascii="David" w:hAnsi="David" w:hint="cs"/>
          <w:b/>
          <w:bCs/>
          <w:u w:val="single"/>
          <w:rtl/>
        </w:rPr>
        <w:t xml:space="preserve">תמצית </w:t>
      </w:r>
      <w:r w:rsidRPr="008D2D26">
        <w:rPr>
          <w:rFonts w:ascii="David" w:hAnsi="David" w:hint="cs"/>
          <w:b/>
          <w:bCs/>
          <w:u w:val="single"/>
          <w:rtl/>
        </w:rPr>
        <w:t>טענות הצדדים</w:t>
      </w:r>
    </w:p>
    <w:p w:rsidR="003454F0" w:rsidRDefault="003454F0" w:rsidP="003454F0">
      <w:pPr>
        <w:spacing w:after="120" w:line="360" w:lineRule="auto"/>
        <w:ind w:left="566" w:hanging="567"/>
        <w:jc w:val="both"/>
        <w:rPr>
          <w:rFonts w:ascii="David" w:hAnsi="David"/>
          <w:rtl/>
        </w:rPr>
      </w:pPr>
      <w:r>
        <w:rPr>
          <w:rFonts w:ascii="David" w:hAnsi="David" w:hint="cs"/>
          <w:rtl/>
        </w:rPr>
        <w:t>6.</w:t>
      </w:r>
      <w:r>
        <w:rPr>
          <w:rFonts w:ascii="David" w:hAnsi="David" w:hint="cs"/>
          <w:rtl/>
        </w:rPr>
        <w:tab/>
        <w:t xml:space="preserve">התובע טען כי בעת הדיון בערעור לא הבין את הפשרה שהוצעה, היות שהיה טרוד בעניינים משפטיים אחרים (הליכים משפטיים בבית הדין הגדול, בקשה שהגיש לבית משפט קמא ועוד). לטענתו הדבר ניכר אף בפרוטוקול הדיון בערעור, שם ניתן לראות כי התובע התייחס בעיקר לסוגיית תלונות השווא לכאורה שהוגשו לטענתו הנתבעת ובן זוגה. </w:t>
      </w:r>
    </w:p>
    <w:p w:rsidR="003454F0" w:rsidRDefault="003454F0" w:rsidP="003454F0">
      <w:pPr>
        <w:spacing w:after="120" w:line="360" w:lineRule="auto"/>
        <w:ind w:left="566" w:hanging="567"/>
        <w:jc w:val="both"/>
        <w:rPr>
          <w:rFonts w:ascii="David" w:hAnsi="David"/>
          <w:rtl/>
        </w:rPr>
      </w:pPr>
      <w:r>
        <w:rPr>
          <w:rFonts w:ascii="David" w:hAnsi="David"/>
          <w:rtl/>
        </w:rPr>
        <w:tab/>
      </w:r>
      <w:r>
        <w:rPr>
          <w:rFonts w:ascii="David" w:hAnsi="David" w:hint="cs"/>
          <w:rtl/>
        </w:rPr>
        <w:t xml:space="preserve">התובע הסכים בדיון בערעור להפחית את מרכיב דמי המדור, שהם 750 ₪ ולהעמיד את דמי המזונות ע"ס 1400 ₪, לאחר שהבין משופטי ההרכב כי בדיון בערעור לא תהא התייחסות לשכרה העדכני של הנתבעת, וכי פסק הדין בערעור יינתן לפי שכרה של הנתבעת שהועמד בבית משפט לענייני משפחה, על סך של 7500 ₪ בלבד. </w:t>
      </w:r>
    </w:p>
    <w:p w:rsidR="003454F0" w:rsidRDefault="003454F0" w:rsidP="003454F0">
      <w:pPr>
        <w:spacing w:after="120" w:line="360" w:lineRule="auto"/>
        <w:ind w:left="566" w:hanging="567"/>
        <w:jc w:val="both"/>
        <w:rPr>
          <w:rFonts w:ascii="David" w:hAnsi="David"/>
          <w:rtl/>
        </w:rPr>
      </w:pPr>
      <w:r>
        <w:rPr>
          <w:rFonts w:ascii="David" w:hAnsi="David"/>
          <w:rtl/>
        </w:rPr>
        <w:tab/>
      </w:r>
      <w:r>
        <w:rPr>
          <w:rFonts w:ascii="David" w:hAnsi="David" w:hint="cs"/>
          <w:rtl/>
        </w:rPr>
        <w:t>התובע מודה ולא מתחמק מאחריות, שהסכים לפשרה שהוצעה לו בדיון אך מעולם לא הבין ולא הסכים להצעת פשרה על הפחתה של 200 ₪ בלבד, בהינתן ששכרה העדכני של הנתבעת עלה ל-10,000 ₪. אם היה ער לכך מלכתחילה, היה מתנגד לכך נחרצות. לטענתו, זמני השהות שלו עם הקטין זהים לאלו של הנתבעת, ושכרם שווה, ולכן הפשרה במתכונתה הנוכחית לא מיטיבה עם התובע והקטין.</w:t>
      </w:r>
    </w:p>
    <w:p w:rsidR="003454F0" w:rsidRDefault="003454F0" w:rsidP="003454F0">
      <w:pPr>
        <w:spacing w:after="120" w:line="360" w:lineRule="auto"/>
        <w:ind w:left="566" w:hanging="567"/>
        <w:jc w:val="both"/>
        <w:rPr>
          <w:rFonts w:ascii="David" w:hAnsi="David"/>
          <w:rtl/>
        </w:rPr>
      </w:pPr>
      <w:r>
        <w:rPr>
          <w:rFonts w:ascii="David" w:hAnsi="David"/>
          <w:rtl/>
        </w:rPr>
        <w:tab/>
      </w:r>
      <w:r>
        <w:rPr>
          <w:rFonts w:ascii="David" w:hAnsi="David" w:hint="cs"/>
          <w:rtl/>
        </w:rPr>
        <w:t xml:space="preserve">לגרסת התובע, מצד אחד נאמר לו כי הדיון בערעור לא מתייחס לשכרה העדכני של הנתבעת, ומצד שני נכתב בבירור בפסק הדין, שהצעת הפשרה היא בהתאם לשכרה העדכני של הנתבעת. </w:t>
      </w:r>
    </w:p>
    <w:p w:rsidR="003454F0" w:rsidRDefault="003454F0" w:rsidP="003454F0">
      <w:pPr>
        <w:spacing w:after="120" w:line="360" w:lineRule="auto"/>
        <w:ind w:left="566" w:hanging="567"/>
        <w:jc w:val="both"/>
        <w:rPr>
          <w:rFonts w:ascii="David" w:hAnsi="David"/>
          <w:rtl/>
        </w:rPr>
      </w:pPr>
      <w:r>
        <w:rPr>
          <w:rFonts w:ascii="David" w:hAnsi="David" w:hint="cs"/>
          <w:rtl/>
        </w:rPr>
        <w:t>7.</w:t>
      </w:r>
      <w:r>
        <w:rPr>
          <w:rFonts w:ascii="David" w:hAnsi="David" w:hint="cs"/>
          <w:rtl/>
        </w:rPr>
        <w:tab/>
        <w:t xml:space="preserve">הנתבעת טענה, כי כתב התביעה לא מגלה נגדה עילת תביעה. לטעמה אין לקבל את התביעה לביטול הסכם הפשרה בשל טענות התובע לאי הבנה וטעות שבלב. התובע נכח בדיון בערעור, והמותב הסביר לו באריכות ובסבלנות רבה את הדברים, והתובע אף אישר לפרוטוקול כי הבינם. כעת התובע לא יכול לטעון נגד ההסכמות ולדרוש את ביטולן, מה גם שכבר פעל על פי הסכם הפשרה. </w:t>
      </w:r>
    </w:p>
    <w:p w:rsidR="003454F0" w:rsidRDefault="003454F0" w:rsidP="003454F0">
      <w:pPr>
        <w:spacing w:after="120" w:line="360" w:lineRule="auto"/>
        <w:ind w:left="566" w:hanging="567"/>
        <w:jc w:val="both"/>
        <w:rPr>
          <w:rFonts w:ascii="David" w:hAnsi="David"/>
          <w:rtl/>
        </w:rPr>
      </w:pPr>
      <w:r>
        <w:rPr>
          <w:rFonts w:ascii="David" w:hAnsi="David"/>
          <w:rtl/>
        </w:rPr>
        <w:tab/>
      </w:r>
      <w:r>
        <w:rPr>
          <w:rFonts w:ascii="David" w:hAnsi="David" w:hint="cs"/>
          <w:rtl/>
        </w:rPr>
        <w:t xml:space="preserve">התובע מסרב לקבל את המצב הקיים ולהמשיך בחייו, ומגיש תביעות סרק נגד הנתבעת, ובכללן התביעה הנדונה. טענותיו בתביעה דנן נוגעות לכל היותר בטעות בכדאיות העסקה, ובהתאם להלכה הפסוקה טעות מסוג זה לא מקימה עילה לביטול ההסכם. </w:t>
      </w:r>
    </w:p>
    <w:p w:rsidR="003454F0" w:rsidRDefault="003454F0" w:rsidP="003454F0">
      <w:pPr>
        <w:spacing w:after="120" w:line="360" w:lineRule="auto"/>
        <w:ind w:left="566" w:hanging="567"/>
        <w:jc w:val="both"/>
        <w:rPr>
          <w:rFonts w:ascii="David" w:hAnsi="David"/>
          <w:rtl/>
        </w:rPr>
      </w:pPr>
    </w:p>
    <w:p w:rsidR="003454F0" w:rsidRPr="00C01F27" w:rsidRDefault="003454F0" w:rsidP="003454F0">
      <w:pPr>
        <w:spacing w:after="120" w:line="360" w:lineRule="auto"/>
        <w:ind w:left="566" w:hanging="567"/>
        <w:jc w:val="both"/>
        <w:rPr>
          <w:rFonts w:ascii="David" w:hAnsi="David"/>
          <w:b/>
          <w:bCs/>
          <w:u w:val="single"/>
          <w:rtl/>
        </w:rPr>
      </w:pPr>
      <w:r w:rsidRPr="00C01F27">
        <w:rPr>
          <w:rFonts w:ascii="David" w:hAnsi="David" w:hint="cs"/>
          <w:b/>
          <w:bCs/>
          <w:u w:val="single"/>
          <w:rtl/>
        </w:rPr>
        <w:t xml:space="preserve">דיון מיום </w:t>
      </w:r>
      <w:r>
        <w:rPr>
          <w:rFonts w:ascii="David" w:hAnsi="David" w:hint="cs"/>
          <w:b/>
          <w:bCs/>
          <w:u w:val="single"/>
          <w:rtl/>
        </w:rPr>
        <w:t>7.10.24</w:t>
      </w:r>
    </w:p>
    <w:p w:rsidR="003454F0" w:rsidRDefault="003454F0" w:rsidP="003454F0">
      <w:pPr>
        <w:spacing w:after="120" w:line="360" w:lineRule="auto"/>
        <w:ind w:left="566" w:hanging="567"/>
        <w:jc w:val="both"/>
        <w:rPr>
          <w:rFonts w:ascii="David" w:hAnsi="David"/>
          <w:rtl/>
        </w:rPr>
      </w:pPr>
      <w:r>
        <w:rPr>
          <w:rFonts w:ascii="David" w:hAnsi="David" w:hint="cs"/>
          <w:rtl/>
        </w:rPr>
        <w:t>8.</w:t>
      </w:r>
      <w:r>
        <w:rPr>
          <w:rFonts w:ascii="David" w:hAnsi="David" w:hint="cs"/>
          <w:rtl/>
        </w:rPr>
        <w:tab/>
        <w:t>הצדדים התייצבו לדיון בפניי ביום 7.10.24. בדומה להליכים האחרים (התיק קמא; הערעור בבית משפט זה וכן בקשת רשות הערעור בבית המשפט העליון), התובע ייצג את עצמו, הגם שאיננו עורך דין.</w:t>
      </w:r>
    </w:p>
    <w:p w:rsidR="003454F0" w:rsidRDefault="003454F0" w:rsidP="003454F0">
      <w:pPr>
        <w:spacing w:after="120" w:line="360" w:lineRule="auto"/>
        <w:ind w:left="566" w:hanging="567"/>
        <w:jc w:val="both"/>
        <w:rPr>
          <w:rFonts w:ascii="David" w:hAnsi="David"/>
          <w:rtl/>
        </w:rPr>
      </w:pPr>
      <w:r>
        <w:rPr>
          <w:rFonts w:ascii="David" w:hAnsi="David" w:hint="cs"/>
          <w:rtl/>
        </w:rPr>
        <w:lastRenderedPageBreak/>
        <w:t>9.</w:t>
      </w:r>
      <w:r>
        <w:rPr>
          <w:rFonts w:ascii="David" w:hAnsi="David" w:hint="cs"/>
          <w:rtl/>
        </w:rPr>
        <w:tab/>
        <w:t>במהלך הדיון, התובע חזר על טענותיו כפי שכתבם בכתב התביעה ושתומצתו בסעיף 6 לעיל. כן הוסיף ואמר "</w:t>
      </w:r>
      <w:r w:rsidRPr="00946F44">
        <w:rPr>
          <w:rFonts w:hint="cs"/>
          <w:b/>
          <w:bCs/>
          <w:rtl/>
        </w:rPr>
        <w:t xml:space="preserve">... </w:t>
      </w:r>
      <w:r w:rsidRPr="00946F44">
        <w:rPr>
          <w:rFonts w:ascii="David" w:hAnsi="David"/>
          <w:b/>
          <w:bCs/>
          <w:rtl/>
        </w:rPr>
        <w:t xml:space="preserve">אני אוהב לעמוד מאחורי המילים שלי, ואם אני אומר שהסכמתי אז אני אומר שהסכמתי. אבל לא הבנתי וגם נאמר לי </w:t>
      </w:r>
      <w:r w:rsidRPr="00946F44">
        <w:rPr>
          <w:rFonts w:ascii="David" w:hAnsi="David" w:hint="cs"/>
          <w:rtl/>
        </w:rPr>
        <w:t>(בדיון בערעור, ח"ש)</w:t>
      </w:r>
      <w:r>
        <w:rPr>
          <w:rFonts w:ascii="David" w:hAnsi="David" w:hint="cs"/>
          <w:b/>
          <w:bCs/>
          <w:rtl/>
        </w:rPr>
        <w:t xml:space="preserve"> </w:t>
      </w:r>
      <w:r w:rsidRPr="00946F44">
        <w:rPr>
          <w:rFonts w:ascii="David" w:hAnsi="David"/>
          <w:b/>
          <w:bCs/>
          <w:rtl/>
        </w:rPr>
        <w:t>שאי אפשר לדון בפסק דין קמא כי פסק דין קמא לא דן בערעור. אם היה נאמר לי שדנים בשכר העדכני לא הייתי מציע להוריד את המדור, למה שאסכים אם יש לנו זמני שהות שווים ושכר שווה. הייתי אומר שאני יכול לקבל דברים אחרים דרך הגשת בקשה חדשה שתיבחן מחדש, ואולי דברים ייראו אחרת</w:t>
      </w:r>
      <w:r>
        <w:rPr>
          <w:rFonts w:ascii="David" w:hAnsi="David" w:hint="cs"/>
          <w:rtl/>
        </w:rPr>
        <w:t>"</w:t>
      </w:r>
      <w:r w:rsidRPr="00946F44">
        <w:rPr>
          <w:rFonts w:ascii="David" w:hAnsi="David"/>
          <w:rtl/>
        </w:rPr>
        <w:t>.</w:t>
      </w:r>
    </w:p>
    <w:p w:rsidR="003454F0" w:rsidRDefault="003454F0" w:rsidP="003454F0">
      <w:pPr>
        <w:spacing w:after="120" w:line="360" w:lineRule="auto"/>
        <w:ind w:left="566" w:hanging="567"/>
        <w:jc w:val="both"/>
        <w:rPr>
          <w:rFonts w:ascii="David" w:hAnsi="David"/>
          <w:rtl/>
        </w:rPr>
      </w:pPr>
      <w:r>
        <w:rPr>
          <w:rFonts w:ascii="David" w:hAnsi="David" w:hint="cs"/>
          <w:rtl/>
        </w:rPr>
        <w:t>10.</w:t>
      </w:r>
      <w:r>
        <w:rPr>
          <w:rFonts w:ascii="David" w:hAnsi="David" w:hint="cs"/>
          <w:rtl/>
        </w:rPr>
        <w:tab/>
        <w:t>ב"כ הנתבעת חזר על האמור בכתב ההגנה, וטען כי התובע הסכים להסכם הפשרה גם בשל העובדה כי כך נמנע מחיוב בהוצאות וקיבל חזרה לידיו את כספי הערבון שהופקד בערעור. לדידו, מדובר בתובע סדרתי המטריד את הנתבעת בהליכים משפטיים שלא לצורך, וביקש לדחות את התובענה דנן, ולהשית על התובע הוצאות בגינה.</w:t>
      </w:r>
    </w:p>
    <w:p w:rsidR="003454F0" w:rsidRDefault="003454F0" w:rsidP="003454F0">
      <w:pPr>
        <w:spacing w:after="120" w:line="360" w:lineRule="auto"/>
        <w:ind w:left="566" w:hanging="567"/>
        <w:jc w:val="both"/>
        <w:rPr>
          <w:rFonts w:ascii="David" w:hAnsi="David"/>
          <w:rtl/>
        </w:rPr>
      </w:pPr>
      <w:r>
        <w:rPr>
          <w:rFonts w:ascii="David" w:hAnsi="David" w:hint="cs"/>
          <w:rtl/>
        </w:rPr>
        <w:t>11.</w:t>
      </w:r>
      <w:r>
        <w:rPr>
          <w:rFonts w:ascii="David" w:hAnsi="David" w:hint="cs"/>
          <w:rtl/>
        </w:rPr>
        <w:tab/>
        <w:t xml:space="preserve">בסוף הדיון, התובע והנתבעת הסכימו כי </w:t>
      </w:r>
      <w:r w:rsidRPr="0004220C">
        <w:rPr>
          <w:rFonts w:ascii="David" w:hAnsi="David"/>
          <w:rtl/>
        </w:rPr>
        <w:t xml:space="preserve">פסק הדין </w:t>
      </w:r>
      <w:r>
        <w:rPr>
          <w:rFonts w:ascii="David" w:hAnsi="David" w:hint="cs"/>
          <w:rtl/>
        </w:rPr>
        <w:t xml:space="preserve">בתובענה דנן </w:t>
      </w:r>
      <w:r w:rsidRPr="0004220C">
        <w:rPr>
          <w:rFonts w:ascii="David" w:hAnsi="David"/>
          <w:rtl/>
        </w:rPr>
        <w:t xml:space="preserve">יינתן בהסתמך על כתבי הטענות והטענות כפי שנטענו </w:t>
      </w:r>
      <w:r>
        <w:rPr>
          <w:rFonts w:ascii="David" w:hAnsi="David" w:hint="cs"/>
          <w:rtl/>
        </w:rPr>
        <w:t xml:space="preserve">בדיון. </w:t>
      </w:r>
    </w:p>
    <w:p w:rsidR="003454F0" w:rsidRDefault="003454F0" w:rsidP="003454F0">
      <w:pPr>
        <w:spacing w:after="120" w:line="360" w:lineRule="auto"/>
        <w:ind w:left="566" w:hanging="567"/>
        <w:jc w:val="both"/>
        <w:rPr>
          <w:rFonts w:ascii="David" w:hAnsi="David"/>
          <w:rtl/>
        </w:rPr>
      </w:pPr>
    </w:p>
    <w:p w:rsidR="003454F0" w:rsidRPr="0004220C" w:rsidRDefault="003454F0" w:rsidP="003454F0">
      <w:pPr>
        <w:spacing w:after="120" w:line="360" w:lineRule="auto"/>
        <w:ind w:left="566" w:hanging="567"/>
        <w:jc w:val="both"/>
        <w:rPr>
          <w:rFonts w:ascii="David" w:hAnsi="David"/>
          <w:b/>
          <w:bCs/>
          <w:u w:val="single"/>
          <w:rtl/>
        </w:rPr>
      </w:pPr>
      <w:r w:rsidRPr="0004220C">
        <w:rPr>
          <w:rFonts w:ascii="David" w:hAnsi="David" w:hint="cs"/>
          <w:b/>
          <w:bCs/>
          <w:u w:val="single"/>
          <w:rtl/>
        </w:rPr>
        <w:t>דיון והכרעה</w:t>
      </w:r>
    </w:p>
    <w:p w:rsidR="003454F0" w:rsidRDefault="003454F0" w:rsidP="003454F0">
      <w:pPr>
        <w:spacing w:after="120" w:line="360" w:lineRule="auto"/>
        <w:ind w:left="566" w:hanging="567"/>
        <w:jc w:val="both"/>
        <w:rPr>
          <w:rFonts w:ascii="David" w:hAnsi="David"/>
          <w:rtl/>
        </w:rPr>
      </w:pPr>
      <w:r>
        <w:rPr>
          <w:rFonts w:ascii="David" w:hAnsi="David" w:hint="cs"/>
          <w:rtl/>
        </w:rPr>
        <w:t>12.</w:t>
      </w:r>
      <w:r>
        <w:rPr>
          <w:rFonts w:ascii="David" w:hAnsi="David" w:hint="cs"/>
          <w:rtl/>
        </w:rPr>
        <w:tab/>
      </w:r>
      <w:r w:rsidRPr="00AC167D">
        <w:rPr>
          <w:rFonts w:ascii="David" w:hAnsi="David" w:hint="cs"/>
          <w:b/>
          <w:bCs/>
          <w:rtl/>
        </w:rPr>
        <w:t xml:space="preserve">לאחר ששקלתי את הדברים ובחנתי את </w:t>
      </w:r>
      <w:r>
        <w:rPr>
          <w:rFonts w:ascii="David" w:hAnsi="David" w:hint="cs"/>
          <w:b/>
          <w:bCs/>
          <w:rtl/>
        </w:rPr>
        <w:t xml:space="preserve">טענות הצדדים </w:t>
      </w:r>
      <w:r w:rsidRPr="00AC167D">
        <w:rPr>
          <w:rFonts w:ascii="David" w:hAnsi="David" w:hint="cs"/>
          <w:b/>
          <w:bCs/>
          <w:rtl/>
        </w:rPr>
        <w:t>שוכנעתי לדחות את התביעה</w:t>
      </w:r>
      <w:r>
        <w:rPr>
          <w:rFonts w:ascii="David" w:hAnsi="David" w:hint="cs"/>
          <w:rtl/>
        </w:rPr>
        <w:t>.</w:t>
      </w:r>
    </w:p>
    <w:p w:rsidR="003454F0" w:rsidRDefault="003454F0" w:rsidP="003454F0">
      <w:pPr>
        <w:spacing w:after="120" w:line="360" w:lineRule="auto"/>
        <w:ind w:left="566" w:hanging="567"/>
        <w:jc w:val="both"/>
        <w:rPr>
          <w:rFonts w:ascii="David" w:hAnsi="David"/>
          <w:rtl/>
        </w:rPr>
      </w:pPr>
      <w:r>
        <w:rPr>
          <w:rFonts w:ascii="David" w:hAnsi="David" w:hint="cs"/>
          <w:rtl/>
        </w:rPr>
        <w:t>13.</w:t>
      </w:r>
      <w:r>
        <w:rPr>
          <w:rFonts w:ascii="David" w:hAnsi="David" w:hint="cs"/>
          <w:rtl/>
        </w:rPr>
        <w:tab/>
        <w:t xml:space="preserve">הדרך לתקוף פסק דין שנתן תוקף להסכם פשרה שהושג בין הצדדים, בשל טענות לפגם הקשור בהסכם גופו היא הגשת תביעה לביטול פסק הדין, כבענייננו. כך התווה בית המשפט העליון בהחלטתו בבקשת רשות הערעור שהגיש התובע (ראו סעיף 4 לעיל), ואפנה בנדון אף ל </w:t>
      </w:r>
      <w:r>
        <w:rPr>
          <w:rFonts w:ascii="David" w:hAnsi="David"/>
          <w:rtl/>
        </w:rPr>
        <w:t>–</w:t>
      </w:r>
      <w:r>
        <w:rPr>
          <w:rFonts w:ascii="David" w:hAnsi="David" w:hint="cs"/>
          <w:rtl/>
        </w:rPr>
        <w:t xml:space="preserve"> </w:t>
      </w:r>
      <w:r>
        <w:rPr>
          <w:rFonts w:ascii="David" w:hAnsi="David"/>
          <w:rtl/>
        </w:rPr>
        <w:t>רע</w:t>
      </w:r>
      <w:r>
        <w:rPr>
          <w:rFonts w:ascii="David" w:hAnsi="David" w:hint="cs"/>
          <w:rtl/>
        </w:rPr>
        <w:t>"</w:t>
      </w:r>
      <w:r>
        <w:rPr>
          <w:rFonts w:ascii="David" w:hAnsi="David"/>
          <w:rtl/>
        </w:rPr>
        <w:t>א 7879/21 ‏</w:t>
      </w:r>
      <w:r w:rsidRPr="00383576">
        <w:rPr>
          <w:rFonts w:ascii="David" w:hAnsi="David"/>
          <w:b/>
          <w:bCs/>
          <w:rtl/>
        </w:rPr>
        <w:t>משפחת שאייב 2003 בע"מ נ' חנן לוי אירועים בע"מ</w:t>
      </w:r>
      <w:r>
        <w:rPr>
          <w:rFonts w:ascii="David" w:hAnsi="David" w:hint="cs"/>
          <w:rtl/>
        </w:rPr>
        <w:t xml:space="preserve"> (15.3.2022), פסקה 9.</w:t>
      </w:r>
    </w:p>
    <w:p w:rsidR="003454F0" w:rsidRDefault="003454F0" w:rsidP="003454F0">
      <w:pPr>
        <w:spacing w:after="120" w:line="360" w:lineRule="auto"/>
        <w:ind w:left="566" w:hanging="567"/>
        <w:jc w:val="both"/>
        <w:rPr>
          <w:rFonts w:ascii="David" w:hAnsi="David"/>
          <w:rtl/>
        </w:rPr>
      </w:pPr>
      <w:r>
        <w:rPr>
          <w:rFonts w:ascii="David" w:hAnsi="David" w:hint="cs"/>
          <w:rtl/>
        </w:rPr>
        <w:t>14.</w:t>
      </w:r>
      <w:r>
        <w:rPr>
          <w:rFonts w:ascii="David" w:hAnsi="David" w:hint="cs"/>
          <w:rtl/>
        </w:rPr>
        <w:tab/>
        <w:t>בית המשפט יורה על ביטולו של הסכם פשרה כגון דא, במקרים חריגים בלבד. כמו כן על הטוען לביטול הסכם פשרה שקיבל תוקף של פסק דין, להצביע על טעמים כבדי משקל שיובילו לביטול ההסכם. בל נשכח כי ביטול הסכם פשרה, כמו זה המתבקש בענייננו, פוגע קשות בעקרון סופיות הדיון. לפיכך יש לעבור משוכה גבוהה ולהצביע על טעות חריגה בעוצמתה ובטיבה, וכן כי הפגם החוזי (לפי דיני החוזים) הינו פגם מהותי היורד לשורש ההסכמה החוזית בין הצדדים.</w:t>
      </w:r>
    </w:p>
    <w:p w:rsidR="003454F0" w:rsidRDefault="003454F0" w:rsidP="003454F0">
      <w:pPr>
        <w:spacing w:after="120" w:line="360" w:lineRule="auto"/>
        <w:ind w:left="566" w:hanging="567"/>
        <w:jc w:val="both"/>
        <w:rPr>
          <w:rFonts w:ascii="David" w:hAnsi="David"/>
          <w:rtl/>
        </w:rPr>
      </w:pPr>
      <w:r>
        <w:rPr>
          <w:rFonts w:ascii="David" w:hAnsi="David"/>
          <w:rtl/>
        </w:rPr>
        <w:tab/>
      </w:r>
      <w:r w:rsidRPr="001E254A">
        <w:rPr>
          <w:rFonts w:ascii="David" w:hAnsi="David" w:hint="cs"/>
          <w:u w:val="single"/>
          <w:rtl/>
        </w:rPr>
        <w:t>ראו לעניין זה</w:t>
      </w:r>
      <w:r w:rsidRPr="001E254A">
        <w:rPr>
          <w:rFonts w:ascii="David" w:hAnsi="David" w:hint="cs"/>
          <w:rtl/>
        </w:rPr>
        <w:t xml:space="preserve">: </w:t>
      </w:r>
      <w:r w:rsidRPr="001E254A">
        <w:rPr>
          <w:rFonts w:ascii="David" w:hAnsi="David"/>
          <w:rtl/>
        </w:rPr>
        <w:t>ע</w:t>
      </w:r>
      <w:r w:rsidRPr="001E254A">
        <w:rPr>
          <w:rFonts w:ascii="David" w:hAnsi="David" w:hint="cs"/>
          <w:rtl/>
        </w:rPr>
        <w:t>"</w:t>
      </w:r>
      <w:r w:rsidRPr="001E254A">
        <w:rPr>
          <w:rFonts w:ascii="David" w:hAnsi="David"/>
          <w:rtl/>
        </w:rPr>
        <w:t>א 2579/24 ‏</w:t>
      </w:r>
      <w:r w:rsidRPr="001E254A">
        <w:rPr>
          <w:rFonts w:ascii="David" w:hAnsi="David"/>
          <w:b/>
          <w:bCs/>
          <w:rtl/>
        </w:rPr>
        <w:t>ח.ד. מחלבות דשן בע"מ נ' עיריית תל אביב-יפו</w:t>
      </w:r>
      <w:r w:rsidRPr="001E254A">
        <w:rPr>
          <w:rFonts w:ascii="David" w:hAnsi="David" w:hint="cs"/>
          <w:rtl/>
        </w:rPr>
        <w:t xml:space="preserve"> (9.7.2024) פסקה 11.</w:t>
      </w:r>
    </w:p>
    <w:p w:rsidR="003454F0" w:rsidRPr="00AC167D" w:rsidRDefault="003454F0" w:rsidP="003454F0">
      <w:pPr>
        <w:spacing w:after="120" w:line="360" w:lineRule="auto"/>
        <w:ind w:left="566" w:hanging="567"/>
        <w:jc w:val="both"/>
        <w:rPr>
          <w:rFonts w:ascii="David" w:hAnsi="David"/>
          <w:b/>
          <w:bCs/>
          <w:rtl/>
        </w:rPr>
      </w:pPr>
      <w:r w:rsidRPr="00AC167D">
        <w:rPr>
          <w:rFonts w:ascii="David" w:hAnsi="David"/>
          <w:b/>
          <w:bCs/>
          <w:rtl/>
        </w:rPr>
        <w:tab/>
      </w:r>
      <w:r w:rsidRPr="00AC167D">
        <w:rPr>
          <w:rFonts w:ascii="David" w:hAnsi="David" w:hint="cs"/>
          <w:b/>
          <w:bCs/>
          <w:rtl/>
        </w:rPr>
        <w:t>לא מצאתי כי המקרה דנן הוא מקרה חריג, וכי התקיימו פגמים מהותיים או טעות חריג</w:t>
      </w:r>
      <w:r>
        <w:rPr>
          <w:rFonts w:ascii="David" w:hAnsi="David" w:hint="cs"/>
          <w:b/>
          <w:bCs/>
          <w:rtl/>
        </w:rPr>
        <w:t xml:space="preserve">ה בהסכמת מי מהצדדים </w:t>
      </w:r>
      <w:r w:rsidRPr="00AC167D">
        <w:rPr>
          <w:rFonts w:ascii="David" w:hAnsi="David" w:hint="cs"/>
          <w:b/>
          <w:bCs/>
          <w:rtl/>
        </w:rPr>
        <w:t>להצעת הפשרה, שקיבלה תוקף של פסק דין במסגרת הדיון בערעור.</w:t>
      </w:r>
    </w:p>
    <w:p w:rsidR="003454F0" w:rsidRDefault="003454F0" w:rsidP="008233BC">
      <w:pPr>
        <w:spacing w:after="120" w:line="360" w:lineRule="auto"/>
        <w:ind w:left="566" w:hanging="567"/>
        <w:jc w:val="both"/>
        <w:rPr>
          <w:rFonts w:ascii="David" w:hAnsi="David"/>
          <w:rtl/>
        </w:rPr>
      </w:pPr>
      <w:r>
        <w:rPr>
          <w:rFonts w:ascii="David" w:hAnsi="David" w:hint="cs"/>
          <w:rtl/>
        </w:rPr>
        <w:t>15.</w:t>
      </w:r>
      <w:r>
        <w:rPr>
          <w:rFonts w:ascii="David" w:hAnsi="David" w:hint="cs"/>
          <w:rtl/>
        </w:rPr>
        <w:tab/>
        <w:t xml:space="preserve">טענתו העיקרית של התובע בתובענה דנן היא, כי </w:t>
      </w:r>
      <w:r w:rsidR="008233BC">
        <w:rPr>
          <w:rFonts w:ascii="David" w:hAnsi="David" w:hint="cs"/>
          <w:rtl/>
        </w:rPr>
        <w:t>יש לבטל</w:t>
      </w:r>
      <w:r>
        <w:rPr>
          <w:rFonts w:ascii="David" w:hAnsi="David" w:hint="cs"/>
          <w:rtl/>
        </w:rPr>
        <w:t xml:space="preserve"> הסכם הפשרה עקב טעות. לדבריו הסכים לפשרה, אך לא לזו שהוצעה על ידי המותב שדן בערעור בבית משפט זה. </w:t>
      </w:r>
    </w:p>
    <w:p w:rsidR="003454F0" w:rsidRDefault="003454F0" w:rsidP="003454F0">
      <w:pPr>
        <w:spacing w:after="120" w:line="360" w:lineRule="auto"/>
        <w:ind w:left="566"/>
        <w:jc w:val="both"/>
        <w:rPr>
          <w:rFonts w:ascii="David" w:hAnsi="David"/>
          <w:rtl/>
        </w:rPr>
      </w:pPr>
      <w:r>
        <w:rPr>
          <w:rFonts w:ascii="David" w:hAnsi="David" w:hint="cs"/>
          <w:rtl/>
        </w:rPr>
        <w:t>נראה כי קמה בלבו של התובע חרטה, לאחר שהבין כי הסכם הפשרה לא עונה, לדידו, על רצונו להפחית את המזונות ביתר שאת, ולמצער בשיעור הפחתה הרצויה לו.</w:t>
      </w:r>
    </w:p>
    <w:p w:rsidR="003454F0" w:rsidRDefault="003454F0" w:rsidP="003454F0">
      <w:pPr>
        <w:spacing w:after="120" w:line="360" w:lineRule="auto"/>
        <w:ind w:left="566"/>
        <w:jc w:val="both"/>
        <w:rPr>
          <w:rFonts w:ascii="David" w:hAnsi="David"/>
          <w:rtl/>
        </w:rPr>
      </w:pPr>
      <w:r>
        <w:rPr>
          <w:rFonts w:ascii="David" w:hAnsi="David" w:hint="cs"/>
          <w:rtl/>
        </w:rPr>
        <w:lastRenderedPageBreak/>
        <w:t>נבהיר הדברים.</w:t>
      </w:r>
    </w:p>
    <w:p w:rsidR="003454F0" w:rsidRDefault="003454F0" w:rsidP="008233BC">
      <w:pPr>
        <w:spacing w:after="120" w:line="360" w:lineRule="auto"/>
        <w:ind w:left="566" w:hanging="567"/>
        <w:jc w:val="both"/>
        <w:rPr>
          <w:rFonts w:ascii="David" w:hAnsi="David"/>
          <w:rtl/>
        </w:rPr>
      </w:pPr>
      <w:r>
        <w:rPr>
          <w:rFonts w:ascii="David" w:hAnsi="David" w:hint="cs"/>
          <w:rtl/>
        </w:rPr>
        <w:t>16.</w:t>
      </w:r>
      <w:r>
        <w:rPr>
          <w:rFonts w:ascii="David" w:hAnsi="David" w:hint="cs"/>
          <w:rtl/>
        </w:rPr>
        <w:tab/>
        <w:t xml:space="preserve">הצעת הפשרה של בית המשפט בערעור (ואנוכי שימשתי כאב"ד של הרכב הערעורים הנדון), לא היתה מוצעת לצדדים לולא נלקחה בחשבון העלייה בשכרה של הנתבעת </w:t>
      </w:r>
      <w:r w:rsidR="008233BC">
        <w:rPr>
          <w:rFonts w:ascii="David" w:hAnsi="David" w:hint="cs"/>
          <w:rtl/>
        </w:rPr>
        <w:t>כנטען</w:t>
      </w:r>
      <w:r>
        <w:rPr>
          <w:rFonts w:ascii="David" w:hAnsi="David" w:hint="cs"/>
          <w:rtl/>
        </w:rPr>
        <w:t xml:space="preserve"> על ידי התובע, כפי שאפשר אף להיווכח מפרוטוקול הדיון בערעור (עמ' 4 שו' 1-6):</w:t>
      </w:r>
    </w:p>
    <w:p w:rsidR="003454F0" w:rsidRPr="00F47FA4" w:rsidRDefault="003454F0" w:rsidP="003454F0">
      <w:pPr>
        <w:spacing w:after="120" w:line="360" w:lineRule="auto"/>
        <w:ind w:left="1417" w:right="1418" w:hanging="1985"/>
        <w:jc w:val="both"/>
        <w:rPr>
          <w:rFonts w:ascii="David" w:hAnsi="David"/>
          <w:b/>
          <w:bCs/>
          <w:rtl/>
        </w:rPr>
      </w:pPr>
      <w:r>
        <w:rPr>
          <w:rFonts w:ascii="David" w:hAnsi="David"/>
          <w:rtl/>
        </w:rPr>
        <w:tab/>
      </w:r>
      <w:r w:rsidRPr="00F47FA4">
        <w:rPr>
          <w:rFonts w:ascii="David" w:hAnsi="David" w:hint="cs"/>
          <w:b/>
          <w:bCs/>
          <w:rtl/>
        </w:rPr>
        <w:t>"</w:t>
      </w:r>
      <w:r w:rsidRPr="00F47FA4">
        <w:rPr>
          <w:rFonts w:ascii="David" w:hAnsi="David"/>
          <w:b/>
          <w:bCs/>
          <w:u w:val="single"/>
          <w:rtl/>
        </w:rPr>
        <w:t>הצעת בית המשפט</w:t>
      </w:r>
      <w:r w:rsidRPr="00F47FA4">
        <w:rPr>
          <w:rFonts w:ascii="David" w:hAnsi="David"/>
          <w:b/>
          <w:bCs/>
          <w:rtl/>
        </w:rPr>
        <w:t>:</w:t>
      </w:r>
    </w:p>
    <w:p w:rsidR="003454F0" w:rsidRPr="00F47FA4" w:rsidRDefault="003454F0" w:rsidP="003454F0">
      <w:pPr>
        <w:spacing w:after="120" w:line="360" w:lineRule="auto"/>
        <w:ind w:left="1417" w:right="1418" w:hanging="1985"/>
        <w:jc w:val="both"/>
        <w:rPr>
          <w:rFonts w:ascii="David" w:hAnsi="David"/>
          <w:b/>
          <w:bCs/>
          <w:rtl/>
        </w:rPr>
      </w:pPr>
      <w:r w:rsidRPr="00F47FA4">
        <w:rPr>
          <w:rFonts w:ascii="David" w:hAnsi="David"/>
          <w:b/>
          <w:bCs/>
          <w:rtl/>
        </w:rPr>
        <w:tab/>
        <w:t xml:space="preserve">בהתאם לשכרה העדכני של המשיבה, הנע בגבולות 9,000 עד 10,000 ₪ נטו לחודש, המלצנו להפחית את סכום המזונות החודשי מכאן ואילך ולהעמידו על סך של 1,950 ₪ בחודש, כולל מדור והוצאות. </w:t>
      </w:r>
    </w:p>
    <w:p w:rsidR="003454F0" w:rsidRPr="00F47FA4" w:rsidRDefault="003454F0" w:rsidP="003454F0">
      <w:pPr>
        <w:spacing w:after="120" w:line="360" w:lineRule="auto"/>
        <w:ind w:left="1417" w:right="1418" w:hanging="1985"/>
        <w:jc w:val="both"/>
        <w:rPr>
          <w:rFonts w:ascii="David" w:hAnsi="David"/>
          <w:b/>
          <w:bCs/>
          <w:rtl/>
        </w:rPr>
      </w:pPr>
      <w:r w:rsidRPr="00F47FA4">
        <w:rPr>
          <w:rFonts w:ascii="David" w:hAnsi="David"/>
          <w:b/>
          <w:bCs/>
          <w:rtl/>
        </w:rPr>
        <w:tab/>
        <w:t xml:space="preserve">ככל שתתקבל ההצעה, כל צד ישא בהוצאותיו בערעור זה. </w:t>
      </w:r>
    </w:p>
    <w:p w:rsidR="003454F0" w:rsidRDefault="003454F0" w:rsidP="003454F0">
      <w:pPr>
        <w:spacing w:after="120" w:line="360" w:lineRule="auto"/>
        <w:ind w:left="1417" w:right="1418" w:hanging="1985"/>
        <w:jc w:val="both"/>
        <w:rPr>
          <w:rFonts w:ascii="David" w:hAnsi="David"/>
          <w:rtl/>
        </w:rPr>
      </w:pPr>
      <w:r w:rsidRPr="00F47FA4">
        <w:rPr>
          <w:rFonts w:ascii="David" w:hAnsi="David"/>
          <w:b/>
          <w:bCs/>
          <w:rtl/>
        </w:rPr>
        <w:tab/>
        <w:t>מעבר לכך אין שינוי ביתר קביעות בית המשפט, לרבות בפסק הדין המקורי מיום 24/4/17</w:t>
      </w:r>
      <w:r w:rsidRPr="00F47FA4">
        <w:rPr>
          <w:rFonts w:ascii="David" w:hAnsi="David" w:hint="cs"/>
          <w:b/>
          <w:bCs/>
          <w:rtl/>
        </w:rPr>
        <w:t>"</w:t>
      </w:r>
      <w:r w:rsidRPr="00F47FA4">
        <w:rPr>
          <w:rFonts w:ascii="David" w:hAnsi="David"/>
          <w:b/>
          <w:bCs/>
          <w:rtl/>
        </w:rPr>
        <w:t>.</w:t>
      </w:r>
      <w:r>
        <w:rPr>
          <w:rFonts w:ascii="David" w:hAnsi="David"/>
          <w:rtl/>
        </w:rPr>
        <w:tab/>
      </w:r>
    </w:p>
    <w:p w:rsidR="003454F0" w:rsidRDefault="003454F0" w:rsidP="003454F0">
      <w:pPr>
        <w:spacing w:after="120" w:line="360" w:lineRule="auto"/>
        <w:ind w:left="566" w:hanging="567"/>
        <w:jc w:val="both"/>
        <w:rPr>
          <w:rFonts w:ascii="David" w:hAnsi="David"/>
          <w:rtl/>
        </w:rPr>
      </w:pPr>
      <w:r>
        <w:rPr>
          <w:rFonts w:ascii="David" w:hAnsi="David" w:hint="cs"/>
          <w:rtl/>
        </w:rPr>
        <w:t>17.</w:t>
      </w:r>
      <w:r>
        <w:rPr>
          <w:rFonts w:ascii="David" w:hAnsi="David" w:hint="cs"/>
          <w:rtl/>
        </w:rPr>
        <w:tab/>
        <w:t xml:space="preserve">התובע נכח בדיון בערעור. המותב הסביר לו בהרחבה על הפשרה המוצעת, מהותה וטיבה והתובע אף הביע את הסכמתו לה לפרוטוקול (עמ' 4, שו' 7-8). </w:t>
      </w:r>
    </w:p>
    <w:p w:rsidR="003454F0" w:rsidRDefault="003454F0" w:rsidP="003454F0">
      <w:pPr>
        <w:spacing w:after="120" w:line="360" w:lineRule="auto"/>
        <w:ind w:left="566"/>
        <w:jc w:val="both"/>
        <w:rPr>
          <w:rFonts w:ascii="David" w:hAnsi="David"/>
          <w:rtl/>
        </w:rPr>
      </w:pPr>
      <w:r>
        <w:rPr>
          <w:rFonts w:ascii="David" w:hAnsi="David" w:hint="cs"/>
          <w:rtl/>
        </w:rPr>
        <w:t>לנוכח זאת ולאור כל המפורט לעיל, חרטתו לאחר מעשה על ההסכמה מפאת שיקולי כדאיות כלכלית, לא מקימה לו כל עילה לביטול הסכם הפשרה.</w:t>
      </w:r>
    </w:p>
    <w:p w:rsidR="003454F0" w:rsidRDefault="003454F0" w:rsidP="003454F0">
      <w:pPr>
        <w:spacing w:after="120" w:line="360" w:lineRule="auto"/>
        <w:ind w:left="566" w:hanging="566"/>
        <w:jc w:val="both"/>
        <w:rPr>
          <w:rFonts w:ascii="David" w:hAnsi="David"/>
          <w:rtl/>
        </w:rPr>
      </w:pPr>
      <w:r>
        <w:rPr>
          <w:rFonts w:ascii="David" w:hAnsi="David" w:hint="cs"/>
          <w:rtl/>
        </w:rPr>
        <w:t>18.</w:t>
      </w:r>
      <w:r>
        <w:rPr>
          <w:rFonts w:ascii="David" w:hAnsi="David"/>
          <w:rtl/>
        </w:rPr>
        <w:tab/>
      </w:r>
      <w:r>
        <w:rPr>
          <w:rFonts w:ascii="David" w:hAnsi="David" w:hint="cs"/>
          <w:rtl/>
        </w:rPr>
        <w:t xml:space="preserve">עסקינן אם כן וכאמור, </w:t>
      </w:r>
      <w:r w:rsidRPr="000828C7">
        <w:rPr>
          <w:rFonts w:ascii="David" w:hAnsi="David" w:hint="cs"/>
          <w:b/>
          <w:bCs/>
          <w:u w:val="single"/>
          <w:rtl/>
        </w:rPr>
        <w:t>בטעות בכדאיות העסקה</w:t>
      </w:r>
      <w:r>
        <w:rPr>
          <w:rFonts w:ascii="David" w:hAnsi="David" w:hint="cs"/>
          <w:b/>
          <w:bCs/>
          <w:u w:val="single"/>
          <w:rtl/>
        </w:rPr>
        <w:t xml:space="preserve"> (או כדאיות הפשרה)</w:t>
      </w:r>
      <w:r>
        <w:rPr>
          <w:rFonts w:ascii="David" w:hAnsi="David" w:hint="cs"/>
          <w:rtl/>
        </w:rPr>
        <w:t>, כפי שציין אף בא כוחה של הנתבעת, הן בכתב ההגנה והן בדבריו בדיון.</w:t>
      </w:r>
    </w:p>
    <w:p w:rsidR="003454F0" w:rsidRPr="00383576" w:rsidRDefault="003454F0" w:rsidP="003454F0">
      <w:pPr>
        <w:spacing w:after="120" w:line="360" w:lineRule="auto"/>
        <w:ind w:left="566" w:hanging="567"/>
        <w:jc w:val="both"/>
        <w:rPr>
          <w:rFonts w:ascii="David" w:hAnsi="David"/>
          <w:b/>
          <w:bCs/>
          <w:rtl/>
        </w:rPr>
      </w:pPr>
      <w:r>
        <w:rPr>
          <w:rFonts w:ascii="David" w:hAnsi="David"/>
          <w:rtl/>
        </w:rPr>
        <w:tab/>
      </w:r>
      <w:r w:rsidRPr="00692CAB">
        <w:rPr>
          <w:rFonts w:ascii="David" w:hAnsi="David" w:hint="cs"/>
          <w:u w:val="single"/>
          <w:rtl/>
        </w:rPr>
        <w:t xml:space="preserve">נפנה בעניין זה ל- </w:t>
      </w:r>
      <w:r w:rsidRPr="00692CAB">
        <w:rPr>
          <w:rFonts w:ascii="David" w:hAnsi="David"/>
          <w:u w:val="single"/>
          <w:rtl/>
        </w:rPr>
        <w:t>ע</w:t>
      </w:r>
      <w:r w:rsidRPr="00383576">
        <w:rPr>
          <w:rFonts w:ascii="David" w:hAnsi="David" w:hint="cs"/>
          <w:u w:val="single"/>
          <w:rtl/>
        </w:rPr>
        <w:t>"</w:t>
      </w:r>
      <w:r w:rsidRPr="00383576">
        <w:rPr>
          <w:rFonts w:ascii="David" w:hAnsi="David"/>
          <w:u w:val="single"/>
          <w:rtl/>
        </w:rPr>
        <w:t>א 7663/11 ‏</w:t>
      </w:r>
      <w:r w:rsidRPr="00383576">
        <w:rPr>
          <w:rFonts w:ascii="David" w:hAnsi="David" w:hint="cs"/>
          <w:b/>
          <w:bCs/>
          <w:u w:val="single"/>
          <w:rtl/>
        </w:rPr>
        <w:t>ג</w:t>
      </w:r>
      <w:r w:rsidRPr="00383576">
        <w:rPr>
          <w:rFonts w:ascii="David" w:hAnsi="David"/>
          <w:b/>
          <w:bCs/>
          <w:u w:val="single"/>
          <w:rtl/>
        </w:rPr>
        <w:t>בריאל דדון נ' יוסף יהויקים חדד</w:t>
      </w:r>
      <w:r w:rsidRPr="00383576">
        <w:rPr>
          <w:rFonts w:ascii="David" w:hAnsi="David" w:hint="cs"/>
          <w:b/>
          <w:bCs/>
          <w:u w:val="single"/>
          <w:rtl/>
        </w:rPr>
        <w:t xml:space="preserve"> </w:t>
      </w:r>
      <w:r w:rsidRPr="00383576">
        <w:rPr>
          <w:rFonts w:ascii="David" w:hAnsi="David" w:hint="cs"/>
          <w:u w:val="single"/>
          <w:rtl/>
        </w:rPr>
        <w:t>(29.4.2013)</w:t>
      </w:r>
      <w:r>
        <w:rPr>
          <w:rFonts w:ascii="David" w:hAnsi="David" w:hint="cs"/>
          <w:u w:val="single"/>
          <w:rtl/>
        </w:rPr>
        <w:t>,</w:t>
      </w:r>
      <w:r w:rsidRPr="00383576">
        <w:rPr>
          <w:rFonts w:ascii="David" w:hAnsi="David" w:hint="cs"/>
          <w:u w:val="single"/>
          <w:rtl/>
        </w:rPr>
        <w:t xml:space="preserve"> סעיף 3 </w:t>
      </w:r>
      <w:r>
        <w:rPr>
          <w:rFonts w:ascii="David" w:hAnsi="David" w:hint="cs"/>
          <w:u w:val="single"/>
          <w:rtl/>
        </w:rPr>
        <w:t>לדבריו</w:t>
      </w:r>
      <w:r w:rsidRPr="00383576">
        <w:rPr>
          <w:rFonts w:ascii="David" w:hAnsi="David" w:hint="cs"/>
          <w:u w:val="single"/>
          <w:rtl/>
        </w:rPr>
        <w:t xml:space="preserve"> של כב' השופט יורם דנציגר</w:t>
      </w:r>
      <w:r w:rsidRPr="00383576">
        <w:rPr>
          <w:rFonts w:ascii="David" w:hAnsi="David" w:hint="cs"/>
          <w:rtl/>
        </w:rPr>
        <w:t>:</w:t>
      </w:r>
    </w:p>
    <w:p w:rsidR="003454F0" w:rsidRDefault="003454F0" w:rsidP="003454F0">
      <w:pPr>
        <w:spacing w:after="120" w:line="360" w:lineRule="auto"/>
        <w:ind w:left="566" w:hanging="567"/>
        <w:jc w:val="both"/>
        <w:rPr>
          <w:rFonts w:ascii="David" w:hAnsi="David"/>
          <w:rtl/>
        </w:rPr>
      </w:pPr>
      <w:r>
        <w:rPr>
          <w:rFonts w:ascii="David" w:hAnsi="David"/>
          <w:rtl/>
        </w:rPr>
        <w:tab/>
      </w:r>
      <w:r>
        <w:rPr>
          <w:rFonts w:ascii="David" w:hAnsi="David" w:hint="cs"/>
          <w:rtl/>
        </w:rPr>
        <w:t>"</w:t>
      </w:r>
      <w:r w:rsidRPr="00383576">
        <w:rPr>
          <w:rFonts w:ascii="David" w:hAnsi="David"/>
          <w:b/>
          <w:bCs/>
          <w:rtl/>
        </w:rPr>
        <w:t>זאת ועוד, כאשר צד להסכם פשרה טוען בדיעבד כי יש מקום לבטל את ההסכם עקב טעות (בין אם בידיעת הצד השני ובין אם לאו), מתעוררת במלוא העוצמה שא</w:t>
      </w:r>
      <w:r>
        <w:rPr>
          <w:rFonts w:ascii="David" w:hAnsi="David"/>
          <w:b/>
          <w:bCs/>
          <w:rtl/>
        </w:rPr>
        <w:t>לת ייחודו של הסכם הפשרה כהסכם ל</w:t>
      </w:r>
      <w:r>
        <w:rPr>
          <w:rFonts w:ascii="David" w:hAnsi="David" w:hint="cs"/>
          <w:b/>
          <w:bCs/>
          <w:rtl/>
        </w:rPr>
        <w:t>'</w:t>
      </w:r>
      <w:r w:rsidRPr="00383576">
        <w:rPr>
          <w:rFonts w:ascii="David" w:hAnsi="David"/>
          <w:b/>
          <w:bCs/>
          <w:rtl/>
        </w:rPr>
        <w:t>קניית סיכון</w:t>
      </w:r>
      <w:r>
        <w:rPr>
          <w:rFonts w:ascii="David" w:hAnsi="David" w:hint="cs"/>
          <w:b/>
          <w:bCs/>
          <w:rtl/>
        </w:rPr>
        <w:t>'</w:t>
      </w:r>
      <w:r>
        <w:rPr>
          <w:rFonts w:ascii="David" w:hAnsi="David"/>
          <w:b/>
          <w:bCs/>
          <w:rtl/>
        </w:rPr>
        <w:t xml:space="preserve"> ביחס להסכם </w:t>
      </w:r>
      <w:r>
        <w:rPr>
          <w:rFonts w:ascii="David" w:hAnsi="David" w:hint="cs"/>
          <w:b/>
          <w:bCs/>
          <w:rtl/>
        </w:rPr>
        <w:t>,</w:t>
      </w:r>
      <w:r w:rsidRPr="00692CAB">
        <w:rPr>
          <w:rFonts w:ascii="David" w:hAnsi="David"/>
          <w:b/>
          <w:bCs/>
          <w:rtl/>
        </w:rPr>
        <w:t>רגיל</w:t>
      </w:r>
      <w:r>
        <w:rPr>
          <w:rFonts w:ascii="David" w:hAnsi="David" w:hint="cs"/>
          <w:b/>
          <w:bCs/>
          <w:rtl/>
        </w:rPr>
        <w:t>'</w:t>
      </w:r>
      <w:r w:rsidRPr="00692CAB">
        <w:rPr>
          <w:rFonts w:ascii="David" w:hAnsi="David"/>
          <w:b/>
          <w:bCs/>
          <w:rtl/>
        </w:rPr>
        <w:t>. ככל שמדובר אך ורק בטעות בהערכת הסיכונים והסיכויים, ובהבנה מאוחרת של אחד הצדדים כי הפשרה אינה מוצלחת מבחינתו כפי שחשב מראש, הרי שמדובר בטעות הנמצאת בליבת הסיכון שנטל על עצמו הצד להסכם שאינה מקימה עילה לביטולו. זוהי למעשה טעות בכדאיות העסקה (או כדאיות הפשרה), שכידוע אינה מקימה עילת ביטול</w:t>
      </w:r>
      <w:r>
        <w:rPr>
          <w:rFonts w:ascii="David" w:hAnsi="David" w:hint="cs"/>
          <w:rtl/>
        </w:rPr>
        <w:t>".</w:t>
      </w:r>
    </w:p>
    <w:p w:rsidR="003454F0" w:rsidRDefault="003454F0" w:rsidP="003454F0">
      <w:pPr>
        <w:spacing w:after="120" w:line="360" w:lineRule="auto"/>
        <w:ind w:left="566" w:hanging="567"/>
        <w:jc w:val="both"/>
        <w:rPr>
          <w:rFonts w:ascii="David" w:hAnsi="David"/>
          <w:rtl/>
        </w:rPr>
      </w:pPr>
      <w:r>
        <w:rPr>
          <w:rFonts w:ascii="David" w:hAnsi="David"/>
          <w:rtl/>
        </w:rPr>
        <w:tab/>
      </w:r>
      <w:r>
        <w:rPr>
          <w:rFonts w:ascii="David" w:hAnsi="David" w:hint="cs"/>
          <w:rtl/>
        </w:rPr>
        <w:t>דברים אלה יפים אף לענייננו. טעות בכדאיות העסקה, או בהסכם הפשרה, לא מקימה עילת ביטול. בכך נשמט הבסיס לתביעה דנן.</w:t>
      </w:r>
    </w:p>
    <w:p w:rsidR="003454F0" w:rsidRDefault="003454F0" w:rsidP="003454F0">
      <w:pPr>
        <w:spacing w:after="120" w:line="360" w:lineRule="auto"/>
        <w:ind w:left="566" w:hanging="567"/>
        <w:jc w:val="both"/>
        <w:rPr>
          <w:rFonts w:ascii="David" w:hAnsi="David"/>
          <w:rtl/>
        </w:rPr>
      </w:pPr>
    </w:p>
    <w:p w:rsidR="00064BAA" w:rsidRDefault="00064BAA" w:rsidP="003454F0">
      <w:pPr>
        <w:spacing w:after="120" w:line="360" w:lineRule="auto"/>
        <w:ind w:left="566" w:hanging="567"/>
        <w:jc w:val="both"/>
        <w:rPr>
          <w:rFonts w:ascii="David" w:hAnsi="David"/>
          <w:rtl/>
        </w:rPr>
      </w:pPr>
    </w:p>
    <w:p w:rsidR="00064BAA" w:rsidRDefault="00064BAA" w:rsidP="003454F0">
      <w:pPr>
        <w:spacing w:after="120" w:line="360" w:lineRule="auto"/>
        <w:ind w:left="566" w:hanging="567"/>
        <w:jc w:val="both"/>
        <w:rPr>
          <w:rFonts w:ascii="David" w:hAnsi="David"/>
          <w:rtl/>
        </w:rPr>
      </w:pPr>
    </w:p>
    <w:p w:rsidR="003454F0" w:rsidRPr="008F75AD" w:rsidRDefault="003454F0" w:rsidP="003454F0">
      <w:pPr>
        <w:spacing w:after="120" w:line="360" w:lineRule="auto"/>
        <w:ind w:left="566" w:hanging="567"/>
        <w:jc w:val="both"/>
        <w:rPr>
          <w:rFonts w:ascii="David" w:hAnsi="David"/>
          <w:b/>
          <w:bCs/>
          <w:u w:val="single"/>
          <w:rtl/>
        </w:rPr>
      </w:pPr>
      <w:r w:rsidRPr="008F75AD">
        <w:rPr>
          <w:rFonts w:ascii="David" w:hAnsi="David" w:hint="cs"/>
          <w:b/>
          <w:bCs/>
          <w:u w:val="single"/>
          <w:rtl/>
        </w:rPr>
        <w:lastRenderedPageBreak/>
        <w:t>סוף דבר</w:t>
      </w:r>
    </w:p>
    <w:p w:rsidR="003454F0" w:rsidRDefault="003454F0" w:rsidP="003454F0">
      <w:pPr>
        <w:spacing w:after="120" w:line="360" w:lineRule="auto"/>
        <w:ind w:left="566" w:hanging="567"/>
        <w:jc w:val="both"/>
        <w:rPr>
          <w:rFonts w:ascii="David" w:hAnsi="David"/>
          <w:b/>
          <w:bCs/>
          <w:rtl/>
        </w:rPr>
      </w:pPr>
      <w:r>
        <w:rPr>
          <w:rFonts w:ascii="David" w:hAnsi="David" w:hint="cs"/>
          <w:rtl/>
        </w:rPr>
        <w:t>19.</w:t>
      </w:r>
      <w:r>
        <w:rPr>
          <w:rFonts w:ascii="David" w:hAnsi="David" w:hint="cs"/>
          <w:rtl/>
        </w:rPr>
        <w:tab/>
      </w:r>
      <w:r>
        <w:rPr>
          <w:rFonts w:ascii="David" w:hAnsi="David" w:hint="cs"/>
          <w:b/>
          <w:bCs/>
          <w:rtl/>
        </w:rPr>
        <w:t>לאור כל המקובץ לעיל, אני מורה על דחיית התביעה.</w:t>
      </w:r>
    </w:p>
    <w:p w:rsidR="003454F0" w:rsidRPr="008F75AD" w:rsidRDefault="003454F0" w:rsidP="003454F0">
      <w:pPr>
        <w:spacing w:after="120" w:line="360" w:lineRule="auto"/>
        <w:ind w:left="566" w:hanging="567"/>
        <w:jc w:val="both"/>
        <w:rPr>
          <w:rFonts w:ascii="David" w:hAnsi="David"/>
          <w:rtl/>
        </w:rPr>
      </w:pPr>
      <w:r>
        <w:rPr>
          <w:rFonts w:ascii="David" w:hAnsi="David" w:hint="cs"/>
          <w:rtl/>
        </w:rPr>
        <w:t>20</w:t>
      </w:r>
      <w:r w:rsidRPr="008F75AD">
        <w:rPr>
          <w:rFonts w:ascii="David" w:hAnsi="David" w:hint="cs"/>
          <w:rtl/>
        </w:rPr>
        <w:t>.</w:t>
      </w:r>
      <w:r w:rsidRPr="008F75AD">
        <w:rPr>
          <w:rFonts w:ascii="David" w:hAnsi="David" w:hint="cs"/>
          <w:rtl/>
        </w:rPr>
        <w:tab/>
      </w:r>
      <w:r>
        <w:rPr>
          <w:rFonts w:ascii="David" w:hAnsi="David" w:hint="cs"/>
          <w:rtl/>
        </w:rPr>
        <w:t xml:space="preserve">לנוכח ההסדר הדיוני אליו הגיעו הצדדים, במסגרתו נחסך קיום הליך הוכחות, </w:t>
      </w:r>
      <w:r>
        <w:rPr>
          <w:rFonts w:ascii="David" w:hAnsi="David"/>
          <w:rtl/>
        </w:rPr>
        <w:t>ה</w:t>
      </w:r>
      <w:r>
        <w:rPr>
          <w:rFonts w:ascii="David" w:hAnsi="David" w:hint="cs"/>
          <w:rtl/>
        </w:rPr>
        <w:t>תובע</w:t>
      </w:r>
      <w:r w:rsidRPr="008F75AD">
        <w:rPr>
          <w:rFonts w:ascii="David" w:hAnsi="David"/>
          <w:rtl/>
        </w:rPr>
        <w:t xml:space="preserve"> יישא בהוצאות </w:t>
      </w:r>
      <w:r>
        <w:rPr>
          <w:rFonts w:ascii="David" w:hAnsi="David" w:hint="cs"/>
          <w:rtl/>
        </w:rPr>
        <w:t>הנתבעת</w:t>
      </w:r>
      <w:r w:rsidRPr="008F75AD">
        <w:rPr>
          <w:rFonts w:ascii="David" w:hAnsi="David"/>
          <w:rtl/>
        </w:rPr>
        <w:t xml:space="preserve"> בסך </w:t>
      </w:r>
      <w:r>
        <w:rPr>
          <w:rFonts w:ascii="David" w:hAnsi="David" w:hint="cs"/>
          <w:rtl/>
        </w:rPr>
        <w:t>3</w:t>
      </w:r>
      <w:r>
        <w:rPr>
          <w:rFonts w:ascii="David" w:hAnsi="David"/>
          <w:rtl/>
        </w:rPr>
        <w:t>,000 ₪</w:t>
      </w:r>
      <w:r>
        <w:rPr>
          <w:rFonts w:ascii="David" w:hAnsi="David" w:hint="cs"/>
          <w:rtl/>
        </w:rPr>
        <w:t xml:space="preserve"> בלבד.</w:t>
      </w:r>
    </w:p>
    <w:p w:rsidR="002E278A" w:rsidRDefault="003454F0" w:rsidP="002E278A">
      <w:pPr>
        <w:spacing w:after="120" w:line="360" w:lineRule="auto"/>
        <w:ind w:left="566" w:hanging="567"/>
        <w:jc w:val="both"/>
        <w:rPr>
          <w:rFonts w:ascii="David" w:hAnsi="David"/>
          <w:rtl/>
        </w:rPr>
      </w:pPr>
      <w:r>
        <w:rPr>
          <w:rFonts w:ascii="David" w:hAnsi="David"/>
          <w:rtl/>
        </w:rPr>
        <w:tab/>
      </w:r>
      <w:r w:rsidRPr="008F75AD">
        <w:rPr>
          <w:rFonts w:ascii="David" w:hAnsi="David"/>
          <w:rtl/>
        </w:rPr>
        <w:t xml:space="preserve">הואיל </w:t>
      </w:r>
      <w:r>
        <w:rPr>
          <w:rFonts w:ascii="David" w:hAnsi="David" w:hint="cs"/>
          <w:rtl/>
        </w:rPr>
        <w:t>והנתבעת</w:t>
      </w:r>
      <w:r w:rsidRPr="008F75AD">
        <w:rPr>
          <w:rFonts w:ascii="David" w:hAnsi="David"/>
          <w:rtl/>
        </w:rPr>
        <w:t xml:space="preserve"> מיוצגת על ידי הלשכה לסיוע משפטי, </w:t>
      </w:r>
      <w:r>
        <w:rPr>
          <w:rFonts w:ascii="David" w:hAnsi="David" w:hint="cs"/>
          <w:rtl/>
        </w:rPr>
        <w:t>התובע</w:t>
      </w:r>
      <w:r>
        <w:rPr>
          <w:rFonts w:ascii="David" w:hAnsi="David"/>
          <w:rtl/>
        </w:rPr>
        <w:t xml:space="preserve"> י</w:t>
      </w:r>
      <w:r w:rsidRPr="008F75AD">
        <w:rPr>
          <w:rFonts w:ascii="David" w:hAnsi="David"/>
          <w:rtl/>
        </w:rPr>
        <w:t>שלם את סכום ה</w:t>
      </w:r>
      <w:r>
        <w:rPr>
          <w:rFonts w:ascii="David" w:hAnsi="David"/>
          <w:rtl/>
        </w:rPr>
        <w:t>הוצאות ללשכה האמורה באמצעות בא</w:t>
      </w:r>
      <w:r>
        <w:rPr>
          <w:rFonts w:ascii="David" w:hAnsi="David" w:hint="cs"/>
          <w:rtl/>
        </w:rPr>
        <w:t xml:space="preserve"> כוחה של הנתבעת</w:t>
      </w:r>
      <w:r w:rsidRPr="008F75AD">
        <w:rPr>
          <w:rFonts w:ascii="David" w:hAnsi="David"/>
          <w:rtl/>
        </w:rPr>
        <w:t>, תוך 30 ימים מיום מתן פסק דין זה, שאם לא כן יישא הסכום ריבית והצמדה מהיום ועד יום התשלום בפועל.</w:t>
      </w:r>
    </w:p>
    <w:p w:rsidR="003454F0" w:rsidRDefault="003454F0" w:rsidP="003454F0">
      <w:pPr>
        <w:spacing w:after="120" w:line="360" w:lineRule="auto"/>
        <w:ind w:left="566" w:hanging="567"/>
        <w:jc w:val="both"/>
        <w:rPr>
          <w:rFonts w:ascii="David" w:hAnsi="David"/>
          <w:rtl/>
        </w:rPr>
      </w:pPr>
    </w:p>
    <w:p w:rsidR="00694556" w:rsidRDefault="003454F0" w:rsidP="002E278A">
      <w:pPr>
        <w:spacing w:after="120" w:line="360" w:lineRule="auto"/>
        <w:ind w:left="566" w:hanging="567"/>
        <w:jc w:val="both"/>
        <w:rPr>
          <w:rFonts w:ascii="Arial" w:hAnsi="Arial"/>
          <w:noProof w:val="0"/>
          <w:rtl/>
        </w:rPr>
      </w:pPr>
      <w:r w:rsidRPr="00776A9B">
        <w:rPr>
          <w:rFonts w:ascii="David" w:hAnsi="David" w:hint="cs"/>
          <w:b/>
          <w:bCs/>
          <w:rtl/>
        </w:rPr>
        <w:t>המזכירות תמציא את פסק הדין לצדדים.</w:t>
      </w:r>
    </w:p>
    <w:p w:rsidR="002E278A" w:rsidRDefault="002E278A" w:rsidP="002E278A">
      <w:pPr>
        <w:spacing w:after="120" w:line="360" w:lineRule="auto"/>
        <w:ind w:left="566" w:hanging="567"/>
        <w:jc w:val="both"/>
        <w:rPr>
          <w:rFonts w:ascii="David" w:hAnsi="David"/>
          <w:b/>
          <w:bCs/>
          <w:rtl/>
        </w:rPr>
      </w:pPr>
    </w:p>
    <w:p w:rsidR="002E278A" w:rsidRPr="00C770E3" w:rsidRDefault="002E278A" w:rsidP="002E278A">
      <w:pPr>
        <w:spacing w:after="120" w:line="360" w:lineRule="auto"/>
        <w:ind w:left="566" w:hanging="567"/>
        <w:jc w:val="both"/>
        <w:rPr>
          <w:rFonts w:ascii="Arial" w:hAnsi="Arial"/>
          <w:noProof w:val="0"/>
          <w:rtl/>
        </w:rPr>
      </w:pPr>
      <w:r w:rsidRPr="002E278A">
        <w:rPr>
          <w:rFonts w:ascii="David" w:hAnsi="David" w:hint="cs"/>
          <w:b/>
          <w:bCs/>
          <w:rtl/>
        </w:rPr>
        <w:t>פסק דין זה מותר לפרסום תוך השמטת שמות הצדדים וכל פרט מזהה אחר</w:t>
      </w:r>
      <w:r>
        <w:rPr>
          <w:rFonts w:ascii="David" w:hAnsi="David" w:hint="cs"/>
          <w:rtl/>
        </w:rPr>
        <w:t xml:space="preserve">. </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09 אוקטובר 2024</w:t>
          </w:r>
        </w:sdtContent>
      </w:sdt>
      <w:r w:rsidR="00005C8B">
        <w:rPr>
          <w:rFonts w:ascii="Arial" w:hAnsi="Arial"/>
          <w:noProof w:val="0"/>
          <w:rtl/>
        </w:rPr>
        <w:t>, בהעדר הצדדים.</w:t>
      </w:r>
    </w:p>
    <w:p w:rsidR="00C43648" w:rsidRDefault="00E7155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73850748"/>
        </w:sdtPr>
        <w:sdtEndPr/>
        <w:sdtContent>
          <w:r w:rsidR="000D217F">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064BAA">
      <w:headerReference w:type="even" r:id="rId10"/>
      <w:headerReference w:type="default" r:id="rId11"/>
      <w:footerReference w:type="even" r:id="rId12"/>
      <w:footerReference w:type="default" r:id="rId13"/>
      <w:headerReference w:type="first" r:id="rId14"/>
      <w:footerReference w:type="first" r:id="rId15"/>
      <w:pgSz w:w="11907" w:h="16840" w:code="9"/>
      <w:pgMar w:top="1440" w:right="1134" w:bottom="1440" w:left="141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551" w:rsidRDefault="00E71551">
      <w:r>
        <w:separator/>
      </w:r>
    </w:p>
  </w:endnote>
  <w:endnote w:type="continuationSeparator" w:id="0">
    <w:p w:rsidR="00E71551" w:rsidRDefault="00E71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DA1" w:rsidRDefault="00440DA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440DA1">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440DA1">
      <w:rPr>
        <w:rStyle w:val="ab"/>
        <w:rFonts w:ascii="David" w:hAnsi="David"/>
        <w:rtl/>
      </w:rPr>
      <w:t>5</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DA1" w:rsidRDefault="00440DA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551" w:rsidRDefault="00E71551">
      <w:r>
        <w:separator/>
      </w:r>
    </w:p>
  </w:footnote>
  <w:footnote w:type="continuationSeparator" w:id="0">
    <w:p w:rsidR="00E71551" w:rsidRDefault="00E71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DA1" w:rsidRDefault="00440DA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3454F0" w:rsidRDefault="00E71551" w:rsidP="00C766A6">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40857-04-24</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C766A6">
                <w:rPr>
                  <w:rFonts w:hint="cs"/>
                  <w:b/>
                  <w:bCs/>
                  <w:noProof w:val="0"/>
                  <w:sz w:val="26"/>
                  <w:szCs w:val="26"/>
                  <w:rtl/>
                </w:rPr>
                <w:t>א'</w:t>
              </w:r>
              <w:r w:rsidR="00424313">
                <w:rPr>
                  <w:b/>
                  <w:bCs/>
                  <w:noProof w:val="0"/>
                  <w:sz w:val="26"/>
                  <w:szCs w:val="26"/>
                  <w:rtl/>
                </w:rPr>
                <w:t xml:space="preserve"> נ' </w:t>
              </w:r>
              <w:r w:rsidR="00C766A6">
                <w:rPr>
                  <w:rFonts w:hint="cs"/>
                  <w:b/>
                  <w:bCs/>
                  <w:noProof w:val="0"/>
                  <w:sz w:val="26"/>
                  <w:szCs w:val="26"/>
                  <w:rtl/>
                </w:rPr>
                <w:t>א'</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DA1" w:rsidRDefault="00440DA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6434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64348&amp;lt;/CaseID&amp;gt;_x000d__x000a_        &amp;lt;CaseMonth&amp;gt;4&amp;lt;/CaseMonth&amp;gt;_x000d__x000a_        &amp;lt;CaseYear&amp;gt;2024&amp;lt;/CaseYear&amp;gt;_x000d__x000a_        &amp;lt;CaseNumber&amp;gt;40857&amp;lt;/CaseNumber&amp;gt;_x000d__x000a_        &amp;lt;NumeratorGroupID&amp;gt;1&amp;lt;/NumeratorGroupID&amp;gt;_x000d__x000a_        &amp;lt;CaseName&amp;gt;אוחיון נ&amp;#39; אסולין&amp;lt;/CaseName&amp;gt;_x000d__x000a_        &amp;lt;CourtID&amp;gt;13&amp;lt;/CourtID&amp;gt;_x000d__x000a_        &amp;lt;CaseTypeID&amp;gt;1&amp;lt;/CaseTypeID&amp;gt;_x000d__x000a_        &amp;lt;CaseInterestID&amp;gt;3&amp;lt;/CaseInterestID&amp;gt;_x000d__x000a_        &amp;lt;CaseJudgeName&amp;gt;חננאל שרעב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40857-04-24&amp;lt;/CaseDisplayIdentifier&amp;gt;_x000d__x000a_        &amp;lt;CaseTypeDesc&amp;gt;ת&amp;quot;א&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4-17T10:10:00+03:00&amp;lt;/CaseOpenDate&amp;gt;_x000d__x000a_        &amp;lt;PleaTypeID&amp;gt;4&amp;lt;/PleaTypeID&amp;gt;_x000d__x000a_        &amp;lt;CourtLevelID&amp;gt;2&amp;lt;/CourtLevelID&amp;gt;_x000d__x000a_        &amp;lt;CourtLevelCaseTypeInterestID&amp;gt;303&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amp;lt;/CourtDisplayName&amp;gt;_x000d__x000a_        &amp;lt;IsAllStartDataCollected&amp;gt;true&amp;lt;/IsAllStartDataCollected&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64348&amp;lt;/CaseID&amp;gt;_x000d__x000a_        &amp;lt;CaseMonth&amp;gt;4&amp;lt;/CaseMonth&amp;gt;_x000d__x000a_        &amp;lt;CaseYear&amp;gt;2024&amp;lt;/CaseYear&amp;gt;_x000d__x000a_        &amp;lt;CaseNumber&amp;gt;40857&amp;lt;/CaseNumber&amp;gt;_x000d__x000a_        &amp;lt;NumeratorGroupID&amp;gt;1&amp;lt;/NumeratorGroupID&amp;gt;_x000d__x000a_        &amp;lt;CaseName&amp;gt;אוחיון נ&amp;#39; אסולין&amp;lt;/CaseName&amp;gt;_x000d__x000a_        &amp;lt;CourtID&amp;gt;13&amp;lt;/CourtID&amp;gt;_x000d__x000a_        &amp;lt;CaseTypeID&amp;gt;1&amp;lt;/CaseTypeID&amp;gt;_x000d__x000a_        &amp;lt;CaseInterestID&amp;gt;3&amp;lt;/CaseInterestID&amp;gt;_x000d__x000a_        &amp;lt;CaseJudgeName&amp;gt;חננאל שרעב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40857-04-24&amp;lt;/CaseDisplayIdentifier&amp;gt;_x000d__x000a_        &amp;lt;CaseTypeDesc&amp;gt;ת&amp;quot;א&amp;lt;/CaseTypeDesc&amp;gt;_x000d__x000a_        &amp;lt;CourtDesc&amp;gt;המחוזי חיפה&amp;lt;/CourtDesc&amp;gt;_x000d__x000a_        &amp;lt;CaseStageDesc&amp;gt;תיק אלקטרוני&amp;lt;/CaseStageDesc&amp;gt;_x000d__x000a_        &amp;lt;CaseNextDeterminingTask&amp;gt;141&amp;lt;/CaseNextDeterminingTask&amp;gt;_x000d__x000a_        &amp;lt;CaseOpenDate&amp;gt;2024-04-17T10:10:00+03:00&amp;lt;/CaseOpenDate&amp;gt;_x000d__x000a_        &amp;lt;PleaTypeID&amp;gt;4&amp;lt;/PleaTypeID&amp;gt;_x000d__x000a_        &amp;lt;CourtLevelID&amp;gt;2&amp;lt;/CourtLevelID&amp;gt;_x000d__x000a_        &amp;lt;CourtLevelCaseTypeInterestID&amp;gt;303&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03323&amp;lt;/DecisionID&amp;gt;_x000d__x000a_        &amp;lt;DecisionName&amp;gt;פסק דין  שניתנה ע&amp;quot;י  חננאל שרעבי&amp;lt;/DecisionName&amp;gt;_x000d__x000a_        &amp;lt;DecisionStatusID&amp;gt;1&amp;lt;/DecisionStatusID&amp;gt;_x000d__x000a_        &amp;lt;DecisionStatusChangeDate&amp;gt;2024-10-09T13:23:28.693+03:00&amp;lt;/DecisionStatusChangeDate&amp;gt;_x000d__x000a_        &amp;lt;DecisionSignatureDate&amp;gt;2024-10-09T13:09:22.607+03:00&amp;lt;/DecisionSignatureDate&amp;gt;_x000d__x000a_        &amp;lt;DecisionSignatureUserID&amp;gt;056479827@GOV.IL&amp;lt;/DecisionSignatureUserID&amp;gt;_x000d__x000a_        &amp;lt;DecisionCreateDate&amp;gt;2024-10-09T13:16:43.65+03:00&amp;lt;/DecisionCreateDate&amp;gt;_x000d__x000a_        &amp;lt;DecisionChangeDate&amp;gt;2024-10-09T13:23:29.193+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749725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5403323&amp;lt;/DecisionID&amp;gt;_x000d__x000a_        &amp;lt;CaseID&amp;gt;81164348&amp;lt;/CaseID&amp;gt;_x000d__x000a_        &amp;lt;IsOriginal&amp;gt;true&amp;lt;/IsOriginal&amp;gt;_x000d__x000a_        &amp;lt;IsDeleted&amp;gt;false&amp;lt;/IsDeleted&amp;gt;_x000d__x000a_        &amp;lt;CaseName&amp;gt;אוחיון נ&amp;#39; אסולין&amp;lt;/CaseName&amp;gt;_x000d__x000a_        &amp;lt;CaseDisplayIdentifier&amp;gt;40857-04-24 ת&amp;quot;א&amp;lt;/CaseDisplayIdentifier&amp;gt;_x000d__x000a_      &amp;lt;/dt_DecisionCase&amp;gt;_x000d__x000a_    &amp;lt;/DecisionDS&amp;gt;_x000d__x000a_  &amp;lt;/diffgr:diffgram&amp;gt;_x000d__x000a_&amp;lt;/DecisionDS&amp;gt;"/>
    <w:docVar w:name="DecisionID" w:val="155403323"/>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BAA"/>
    <w:rsid w:val="00064FBD"/>
    <w:rsid w:val="00072FDC"/>
    <w:rsid w:val="00082AB2"/>
    <w:rsid w:val="000906FE"/>
    <w:rsid w:val="00096AF7"/>
    <w:rsid w:val="000B344B"/>
    <w:rsid w:val="000C3B0F"/>
    <w:rsid w:val="000C3B60"/>
    <w:rsid w:val="000D217F"/>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95583"/>
    <w:rsid w:val="001C4003"/>
    <w:rsid w:val="001D4DBF"/>
    <w:rsid w:val="001E75CA"/>
    <w:rsid w:val="002265FF"/>
    <w:rsid w:val="00271B56"/>
    <w:rsid w:val="00272E32"/>
    <w:rsid w:val="002C344E"/>
    <w:rsid w:val="002E278A"/>
    <w:rsid w:val="002E75E9"/>
    <w:rsid w:val="002F0B1E"/>
    <w:rsid w:val="00307A6A"/>
    <w:rsid w:val="00307C40"/>
    <w:rsid w:val="00320433"/>
    <w:rsid w:val="003230C7"/>
    <w:rsid w:val="00327E50"/>
    <w:rsid w:val="0033597A"/>
    <w:rsid w:val="00343D89"/>
    <w:rsid w:val="003454F0"/>
    <w:rsid w:val="00362612"/>
    <w:rsid w:val="0036743F"/>
    <w:rsid w:val="003715DD"/>
    <w:rsid w:val="003823E0"/>
    <w:rsid w:val="003A4521"/>
    <w:rsid w:val="003D1C8C"/>
    <w:rsid w:val="003E38C7"/>
    <w:rsid w:val="0040096C"/>
    <w:rsid w:val="00414F1F"/>
    <w:rsid w:val="00422BEE"/>
    <w:rsid w:val="00424313"/>
    <w:rsid w:val="0043125D"/>
    <w:rsid w:val="0043502B"/>
    <w:rsid w:val="00440DA1"/>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124"/>
    <w:rsid w:val="0061431B"/>
    <w:rsid w:val="00622BAA"/>
    <w:rsid w:val="006306CF"/>
    <w:rsid w:val="00644E9A"/>
    <w:rsid w:val="00671BD5"/>
    <w:rsid w:val="006805C1"/>
    <w:rsid w:val="00686C21"/>
    <w:rsid w:val="006931C1"/>
    <w:rsid w:val="00694556"/>
    <w:rsid w:val="006C30C5"/>
    <w:rsid w:val="006D3B31"/>
    <w:rsid w:val="006E0D96"/>
    <w:rsid w:val="006E1A53"/>
    <w:rsid w:val="006F17BA"/>
    <w:rsid w:val="006F56E6"/>
    <w:rsid w:val="00704EDA"/>
    <w:rsid w:val="00721122"/>
    <w:rsid w:val="00734689"/>
    <w:rsid w:val="007351F7"/>
    <w:rsid w:val="00753019"/>
    <w:rsid w:val="00754801"/>
    <w:rsid w:val="00761441"/>
    <w:rsid w:val="00795365"/>
    <w:rsid w:val="007A351D"/>
    <w:rsid w:val="007B7765"/>
    <w:rsid w:val="007C2453"/>
    <w:rsid w:val="007C5BDD"/>
    <w:rsid w:val="007D40D4"/>
    <w:rsid w:val="007D45E3"/>
    <w:rsid w:val="007E6115"/>
    <w:rsid w:val="007F123A"/>
    <w:rsid w:val="007F4609"/>
    <w:rsid w:val="00805EFF"/>
    <w:rsid w:val="00814468"/>
    <w:rsid w:val="008176A1"/>
    <w:rsid w:val="00820005"/>
    <w:rsid w:val="008233BC"/>
    <w:rsid w:val="00842A38"/>
    <w:rsid w:val="00844318"/>
    <w:rsid w:val="00860102"/>
    <w:rsid w:val="00863F5D"/>
    <w:rsid w:val="00870890"/>
    <w:rsid w:val="00873602"/>
    <w:rsid w:val="00875D12"/>
    <w:rsid w:val="00876170"/>
    <w:rsid w:val="0088479D"/>
    <w:rsid w:val="00891F42"/>
    <w:rsid w:val="00896889"/>
    <w:rsid w:val="008A6E97"/>
    <w:rsid w:val="008C5714"/>
    <w:rsid w:val="008C7177"/>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1B1F"/>
    <w:rsid w:val="00C43648"/>
    <w:rsid w:val="00C50A9F"/>
    <w:rsid w:val="00C642FA"/>
    <w:rsid w:val="00C766A6"/>
    <w:rsid w:val="00C770E3"/>
    <w:rsid w:val="00CC7622"/>
    <w:rsid w:val="00CD608F"/>
    <w:rsid w:val="00CF6BB7"/>
    <w:rsid w:val="00D04AA4"/>
    <w:rsid w:val="00D27982"/>
    <w:rsid w:val="00D33B86"/>
    <w:rsid w:val="00D44968"/>
    <w:rsid w:val="00D53924"/>
    <w:rsid w:val="00D55D0C"/>
    <w:rsid w:val="00D73B15"/>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655E9"/>
    <w:rsid w:val="00E71551"/>
    <w:rsid w:val="00E80CBE"/>
    <w:rsid w:val="00E84C6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B2EC4E2E6344473B14961396DFF1BF6"/>
        <w:category>
          <w:name w:val="כללי"/>
          <w:gallery w:val="placeholder"/>
        </w:category>
        <w:types>
          <w:type w:val="bbPlcHdr"/>
        </w:types>
        <w:behaviors>
          <w:behavior w:val="content"/>
        </w:behaviors>
        <w:guid w:val="{F7E4AB4B-2342-4ADC-8491-D740994E5583}"/>
      </w:docPartPr>
      <w:docPartBody>
        <w:p w:rsidR="009133C7" w:rsidRDefault="00AA7CE3">
          <w:r w:rsidRPr="00D47A1C">
            <w:rPr>
              <w:rStyle w:val="a3"/>
              <w:rtl/>
            </w:rPr>
            <w:t>לחץ כאן להזנת טקסט</w:t>
          </w:r>
          <w:r w:rsidRPr="00D47A1C">
            <w:rPr>
              <w:rStyle w:val="a3"/>
            </w:rPr>
            <w:t>.</w:t>
          </w:r>
        </w:p>
      </w:docPartBody>
    </w:docPart>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176520" w:rsidRDefault="00252B60">
          <w:pPr>
            <w:pStyle w:val="F99F0B59DE784A4883B49A9AC8CD2D26"/>
          </w:pPr>
          <w:r>
            <w:rPr>
              <w:b/>
              <w:bCs/>
              <w:rtl/>
            </w:rPr>
            <w:t>סוג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76520"/>
    <w:rsid w:val="00186222"/>
    <w:rsid w:val="001D696D"/>
    <w:rsid w:val="00252B60"/>
    <w:rsid w:val="002D02C4"/>
    <w:rsid w:val="00345C9D"/>
    <w:rsid w:val="0048651F"/>
    <w:rsid w:val="005157ED"/>
    <w:rsid w:val="005171E8"/>
    <w:rsid w:val="00556D67"/>
    <w:rsid w:val="006377AB"/>
    <w:rsid w:val="00793995"/>
    <w:rsid w:val="007C6F98"/>
    <w:rsid w:val="007E254A"/>
    <w:rsid w:val="00817811"/>
    <w:rsid w:val="00833C89"/>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B2EC4E2E6344473B14961396DFF1BF6">
    <w:name w:val="BB2EC4E2E6344473B14961396DFF1BF6"/>
    <w:pPr>
      <w:bidi/>
    </w:pPr>
  </w:style>
  <w:style w:type="paragraph" w:customStyle="1" w:styleId="AB910707D998430FBBFC7D1471976748">
    <w:name w:val="AB910707D998430FBBFC7D1471976748"/>
    <w:pPr>
      <w:bidi/>
    </w:pPr>
  </w:style>
  <w:style w:type="paragraph" w:customStyle="1" w:styleId="F99F0B59DE784A4883B49A9AC8CD2D26">
    <w:name w:val="F99F0B59DE784A4883B49A9AC8CD2D26"/>
    <w:pPr>
      <w:bidi/>
    </w:pPr>
  </w:style>
  <w:style w:type="paragraph" w:customStyle="1" w:styleId="9428F7884EB04476B968DC594579CE5D">
    <w:name w:val="9428F7884EB04476B968DC594579CE5D"/>
    <w:pPr>
      <w:bidi/>
    </w:pPr>
  </w:style>
  <w:style w:type="paragraph" w:customStyle="1" w:styleId="338A4541A3474C6EB16980B982477DBD">
    <w:name w:val="338A4541A3474C6EB16980B982477DBD"/>
    <w:pPr>
      <w:bidi/>
    </w:pPr>
  </w:style>
  <w:style w:type="paragraph" w:customStyle="1" w:styleId="01DD48CC07644C6D85363A3D73F59D86">
    <w:name w:val="01DD48CC07644C6D85363A3D73F59D86"/>
    <w:pPr>
      <w:bidi/>
    </w:pPr>
  </w:style>
  <w:style w:type="paragraph" w:customStyle="1" w:styleId="AA9AB445DF1440C0853CA5DD068EDD66">
    <w:name w:val="AA9AB445DF1440C0853CA5DD068EDD66"/>
    <w:pPr>
      <w:bidi/>
    </w:pPr>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81164348</CaseID>
    <CaseJudicialPersonPresentationDS>
      <CaseJudicalPersonActive>
        <CaseID>81164348</CaseID>
        <JudicialPersonID>056479827@GOV.IL</JudicialPersonID>
        <JudicialPersonTypeID>1</JudicialPersonTypeID>
        <JudicialTypeID>1</JudicialTypeID>
        <IsChairman>false</IsChairman>
        <TreatmentStartDate>2024-05-19T15:34:44.003+03:00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אריאל יום טוביאן</FullName>
        <FirstName>אריאל</FirstName>
        <LastName>יום טוביאן</LastName>
        <PartyPropertyName/>
        <AuthenticationTypeAndNumber>מ.ר. 37384</AuthenticationTypeAndNumber>
        <RepresentatedOrRepresentativesNames>עינב אסולין</RepresentatedOrRepresentativesNames>
        <RepresentatedOrRepresentativesCount>1</RepresentatedOrRepresentativesCount>
        <InvitedBy/>
        <CaseID>81164348</CaseID>
        <CaseJudicialPersonPresentationDS>
          <CaseJudicalPersonActive>
            <CaseID>81164348</CaseID>
            <JudicialPersonID>056479827@GOV.IL</JudicialPersonID>
            <JudicialPersonTypeID>1</JudicialPersonTypeID>
            <JudicialTypeID>1</JudicialTypeID>
            <IsChairman>false</IsChairman>
            <TreatmentStartDate>2024-05-19T15:34:44.003+03:00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270639979</CasePartyID>
        <PartyTypeID>2</PartyTypeID>
        <ActivityStatusID>1</ActivityStatusID>
        <PartyAliasID>21</PartyAliasID>
        <PartyAliasName>בא כוח נתבעים</PartyAliasName>
        <LegalEntityID>408725</LegalEntityID>
        <CaseLegalEntityID>129025101</CaseLegalEntityID>
        <AuthenticationTypeID>4</AuthenticationTypeID>
        <AuthenticationTypeName>מ.ר.</AuthenticationTypeName>
        <LegalEntityNumber>37384</LegalEntityNumber>
        <IsMainPartyType>true</IsMainPartyType>
        <CaseDisplayIdentifier>40857-04-24</CaseDisplayIdentifier>
        <CaseTypeID>1</CaseTypeID>
        <CaseTypeName>תיק אזרחי בסדר דין רגיל (ת"א)</CaseTypeName>
        <CaseName>אוחיון נ' אסולין</CaseName>
        <FullAddress>פל ים 5 חיפה </FullAddress>
        <EmailAddress>arielyot@gmail.com</EmailAddress>
        <MotionID>0</MotionID>
        <CasePleaID>0</CasePleaID>
        <FatherName xml:space="preserve">        </FatherName>
        <LinkedCaseID>0</LinkedCaseID>
        <PartyID>2</PartyID>
        <CasePartyCategoryID>2</CasePartyCategoryID>
        <LegalEntityAddressID>81410499</LegalEntityAddressID>
        <LegalEntityEmailAddressID>67841582</LegalEntityEmailAddressID>
        <PleaTypeID>4</PleaTypeID>
        <LawyerOfficeName>משרד עו"ד: אריאל יום טוביאן</LawyerOfficeName>
        <LawyerOfficeID>449369</LawyerOfficeID>
        <GroupPartyAlias/>
        <IsConverted>false</IsConverted>
        <LegalEntityNameID>29709</LegalEntityNameID>
        <RepresentatedNamesOfAssistant/>
        <LegalEntityTypeID>4</LegalEntityTypeID>
        <IsVerdictExists>false</IsVerdictExists>
        <IsAsirAzir>false</IsAsirAzir>
        <MainAndSecSpec/>
        <IsPublicationProhibited>false</IsPublicationProhibited>
        <PublicationProhibitedFullName>אריאל יום טוביאן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אבנר אוחיון</FullName>
        <FirstName>אבנר</FirstName>
        <LastName>אוחיון</LastName>
        <PartyPropertyName/>
        <AuthenticationTypeAndNumber>ת"ז 034840090</AuthenticationTypeAndNumber>
        <RepresentatedOrRepresentativesNames/>
        <RepresentatedOrRepresentativesCount>0</RepresentatedOrRepresentativesCount>
        <InvitedBy/>
        <CaseID>81164348</CaseID>
        <CaseJudicialPersonPresentationDS>
          <CaseJudicalPersonActive>
            <CaseID>81164348</CaseID>
            <JudicialPersonID>056479827@GOV.IL</JudicialPersonID>
            <JudicialPersonTypeID>1</JudicialPersonTypeID>
            <JudicialTypeID>1</JudicialTypeID>
            <IsChairman>false</IsChairman>
            <TreatmentStartDate>2024-05-19T15:34:44.003+03:00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269192143</CasePartyID>
        <PartyTypeID>1</PartyTypeID>
        <ActivityStatusID>1</ActivityStatusID>
        <PartyAliasID>1</PartyAliasID>
        <PartyAliasName>תובע</PartyAliasName>
        <OrdinalNumber>1</OrdinalNumber>
        <LegalEntityID>75196395</LegalEntityID>
        <CaseLegalEntityID>128587095</CaseLegalEntityID>
        <AuthenticationTypeID>1</AuthenticationTypeID>
        <AuthenticationTypeName>ת"ז</AuthenticationTypeName>
        <LegalEntityNumber>034840090</LegalEntityNumber>
        <IsMainPartyType>true</IsMainPartyType>
        <CaseDisplayIdentifier>40857-04-24</CaseDisplayIdentifier>
        <CaseTypeID>1</CaseTypeID>
        <CaseTypeName>תיק אזרחי בסדר דין רגיל (ת"א)</CaseTypeName>
        <CaseName>אוחיון נ' אסולין</CaseName>
        <FullAddress>רח' הארזים 18 קריית חיים חיפה</FullAddress>
        <MotionID>0</MotionID>
        <CasePleaID>0</CasePleaID>
        <FatherName>יצחק</FatherName>
        <LinkedCaseID>0</LinkedCaseID>
        <PartyID>1</PartyID>
        <CasePartyCategoryID>2</CasePartyCategoryID>
        <LegalEntityAddressID>89212600</LegalEntityAddressID>
        <PleaTypeID>4</PleaTypeID>
        <GroupPartyAlias>תובעים</GroupPartyAlias>
        <IsConverted>false</IsConverted>
        <LegalEntityRegisteredNameID>5243992</LegalEntityRegisteredNameID>
        <LegalEntityNameID>96457796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אבנר אוחיון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עינב אסולין</FullName>
        <FirstName>עינב</FirstName>
        <LastName>אסולין</LastName>
        <PartyPropertyName/>
        <AuthenticationTypeAndNumber>ת"ז 065733537</AuthenticationTypeAndNumber>
        <RepresentatedOrRepresentativesNames>אריאל יום טוביאן</RepresentatedOrRepresentativesNames>
        <RepresentatedOrRepresentativesCount>1</RepresentatedOrRepresentativesCount>
        <InvitedBy/>
        <CaseID>81164348</CaseID>
        <CaseJudicialPersonPresentationDS>
          <CaseJudicalPersonActive>
            <CaseID>81164348</CaseID>
            <JudicialPersonID>056479827@GOV.IL</JudicialPersonID>
            <JudicialPersonTypeID>1</JudicialPersonTypeID>
            <JudicialTypeID>1</JudicialTypeID>
            <IsChairman>false</IsChairman>
            <TreatmentStartDate>2024-05-19T15:34:44.003+03:00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269192145</CasePartyID>
        <PartyTypeID>1</PartyTypeID>
        <ActivityStatusID>1</ActivityStatusID>
        <PartyAliasID>2</PartyAliasID>
        <PartyAliasName>נתבע</PartyAliasName>
        <OrdinalNumber>1</OrdinalNumber>
        <LegalEntityID>75196393</LegalEntityID>
        <CaseLegalEntityID>128587097</CaseLegalEntityID>
        <AuthenticationTypeID>1</AuthenticationTypeID>
        <AuthenticationTypeName>ת"ז</AuthenticationTypeName>
        <LegalEntityNumber>065733537</LegalEntityNumber>
        <IsMainPartyType>true</IsMainPartyType>
        <CaseDisplayIdentifier>40857-04-24</CaseDisplayIdentifier>
        <CaseTypeID>1</CaseTypeID>
        <CaseTypeName>תיק אזרחי בסדר דין רגיל (ת"א)</CaseTypeName>
        <CaseName>אוחיון נ' אסולין</CaseName>
        <FullAddress>סמטת הלוטם 14 ב' רמת ישי </FullAddress>
        <MotionID>0</MotionID>
        <CasePleaID>0</CasePleaID>
        <FatherName>בנימין</FatherName>
        <LinkedCaseID>0</LinkedCaseID>
        <PartyID>2</PartyID>
        <CasePartyCategoryID>2</CasePartyCategoryID>
        <LegalEntityAddressID>89212601</LegalEntityAddressID>
        <PleaTypeID>4</PleaTypeID>
        <GroupPartyAlias>נתבעים</GroupPartyAlias>
        <IsConverted>false</IsConverted>
        <LegalEntityRegisteredNameID>9310719</LegalEntityRegisteredNameID>
        <LegalEntityNameID>96457798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עינב אסולין</PublicationProhibitedFullName>
      </CaseParties>
    </CasePartiesSelectionDS>
    <DecisionName>פסק דין  שניתנה ע"י  חננאל שרעבי</DecisionName>
    <CourtDisplayName>בית המשפט המחוזי בחיפה</CourtDisplayName>
    <IsCaseJudgePanel>false</IsCaseJudgePanel>
    <DecisionSignatureDate>2024-10-09T13:09:22.6079278+03:00</DecisionSignatureDate>
    <OpenCaseDate>2024-04-17T10:10:00+03:00</OpenCaseDate>
    <CaseFeeSum>0.000</CaseFeeSum>
    <DecisionTypeID>2</DecisionTypeID>
    <DecisionSignatureUserName>חננאל שרעבי</DecisionSignatureUserName>
    <DecisionSignatureDateHebrew>2024-10-09T13:09:22.6079278+03:00</DecisionSignatureDateHebrew>
    <DecisionWriterID>056479827@GOV.IL</DecisionWriterID>
    <CourtAddress>רח' פלי"ם 12 היכל המשפט, חיפה 33095</CourtAddress>
    <IsAutoTextInCaseExist>true</IsAutoTextInCaseExist>
    <DecisionSignatureRoleName>שופט</DecisionSignatureRoleName>
    <DecisionSignatureUserTitleName>שופט</DecisionSignatureUserTitleName>
    <CaseName>אוחיון נ' אסולין</CaseName>
    <DecisionNumberInCase>11</DecisionNumberInCase>
  </dt_Decision>
  <dt_DecisionCase>
    <DecisionID>0</DecisionID>
    <CaseID>81164348</CaseID>
    <CaseJudicialPersonPresentationDS>
      <CaseJudicalPersonActive>
        <CaseID>81164348</CaseID>
        <JudicialPersonID>056479827@GOV.IL</JudicialPersonID>
        <JudicialPersonTypeID>1</JudicialPersonTypeID>
        <JudicialTypeID>1</JudicialTypeID>
        <IsChairman>false</IsChairman>
        <TreatmentStartDate>2024-05-19T15:34:44.003+03:00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אריאל יום טוביאן</FullName>
        <FirstName>אריאל</FirstName>
        <LastName>יום טוביאן</LastName>
        <PartyPropertyName/>
        <AuthenticationTypeAndNumber>מ.ר. 37384</AuthenticationTypeAndNumber>
        <RepresentatedOrRepresentativesNames>עינב אסולין</RepresentatedOrRepresentativesNames>
        <RepresentatedOrRepresentativesCount>1</RepresentatedOrRepresentativesCount>
        <InvitedBy/>
        <CaseID>81164348</CaseID>
        <CaseJudicialPersonPresentationDS>
          <CaseJudicalPersonActive>
            <CaseID>81164348</CaseID>
            <JudicialPersonID>056479827@GOV.IL</JudicialPersonID>
            <JudicialPersonTypeID>1</JudicialPersonTypeID>
            <JudicialTypeID>1</JudicialTypeID>
            <IsChairman>false</IsChairman>
            <TreatmentStartDate>2024-05-19T15:34:44.003+03:00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270639979</CasePartyID>
        <PartyTypeID>2</PartyTypeID>
        <ActivityStatusID>1</ActivityStatusID>
        <PartyAliasID>21</PartyAliasID>
        <PartyAliasName>בא כוח נתבעים</PartyAliasName>
        <LegalEntityID>408725</LegalEntityID>
        <CaseLegalEntityID>129025101</CaseLegalEntityID>
        <AuthenticationTypeID>4</AuthenticationTypeID>
        <AuthenticationTypeName>מ.ר.</AuthenticationTypeName>
        <LegalEntityNumber>37384</LegalEntityNumber>
        <IsMainPartyType>true</IsMainPartyType>
        <CaseDisplayIdentifier>40857-04-24</CaseDisplayIdentifier>
        <CaseTypeID>1</CaseTypeID>
        <CaseTypeName>תיק אזרחי בסדר דין רגיל (ת"א)</CaseTypeName>
        <CaseName>אוחיון נ' אסולין</CaseName>
        <FullAddress>פל ים 5 חיפה </FullAddress>
        <EmailAddress>arielyot@gmail.com</EmailAddress>
        <MotionID>0</MotionID>
        <CasePleaID>0</CasePleaID>
        <FatherName xml:space="preserve">        </FatherName>
        <LinkedCaseID>0</LinkedCaseID>
        <PartyID>2</PartyID>
        <CasePartyCategoryID>2</CasePartyCategoryID>
        <LegalEntityAddressID>81410499</LegalEntityAddressID>
        <LegalEntityEmailAddressID>67841582</LegalEntityEmailAddressID>
        <PleaTypeID>4</PleaTypeID>
        <LawyerOfficeName>משרד עו"ד: אריאל יום טוביאן</LawyerOfficeName>
        <LawyerOfficeID>449369</LawyerOfficeID>
        <GroupPartyAlias/>
        <IsConverted>false</IsConverted>
        <LegalEntityNameID>29709</LegalEntityNameID>
        <RepresentatedNamesOfAssistant/>
        <LegalEntityTypeID>4</LegalEntityTypeID>
        <IsVerdictExists>false</IsVerdictExists>
        <IsAsirAzir>false</IsAsirAzir>
        <MainAndSecSpec/>
        <IsPublicationProhibited>false</IsPublicationProhibited>
        <PublicationProhibitedFullName>אריאל יום טוביאן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אבנר אוחיון</FullName>
        <FirstName>אבנר</FirstName>
        <LastName>אוחיון</LastName>
        <PartyPropertyName/>
        <AuthenticationTypeAndNumber>ת"ז 034840090</AuthenticationTypeAndNumber>
        <RepresentatedOrRepresentativesNames/>
        <RepresentatedOrRepresentativesCount>0</RepresentatedOrRepresentativesCount>
        <InvitedBy/>
        <CaseID>81164348</CaseID>
        <CaseJudicialPersonPresentationDS>
          <CaseJudicalPersonActive>
            <CaseID>81164348</CaseID>
            <JudicialPersonID>056479827@GOV.IL</JudicialPersonID>
            <JudicialPersonTypeID>1</JudicialPersonTypeID>
            <JudicialTypeID>1</JudicialTypeID>
            <IsChairman>false</IsChairman>
            <TreatmentStartDate>2024-05-19T15:34:44.003+03:00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269192143</CasePartyID>
        <PartyTypeID>1</PartyTypeID>
        <ActivityStatusID>1</ActivityStatusID>
        <PartyAliasID>1</PartyAliasID>
        <PartyAliasName>תובע</PartyAliasName>
        <OrdinalNumber>1</OrdinalNumber>
        <LegalEntityID>75196395</LegalEntityID>
        <CaseLegalEntityID>128587095</CaseLegalEntityID>
        <AuthenticationTypeID>1</AuthenticationTypeID>
        <AuthenticationTypeName>ת"ז</AuthenticationTypeName>
        <LegalEntityNumber>034840090</LegalEntityNumber>
        <IsMainPartyType>true</IsMainPartyType>
        <CaseDisplayIdentifier>40857-04-24</CaseDisplayIdentifier>
        <CaseTypeID>1</CaseTypeID>
        <CaseTypeName>תיק אזרחי בסדר דין רגיל (ת"א)</CaseTypeName>
        <CaseName>אוחיון נ' אסולין</CaseName>
        <FullAddress>רח' הארזים 18 קריית חיים חיפה</FullAddress>
        <MotionID>0</MotionID>
        <CasePleaID>0</CasePleaID>
        <FatherName>יצחק</FatherName>
        <LinkedCaseID>0</LinkedCaseID>
        <PartyID>1</PartyID>
        <CasePartyCategoryID>2</CasePartyCategoryID>
        <LegalEntityAddressID>89212600</LegalEntityAddressID>
        <PleaTypeID>4</PleaTypeID>
        <GroupPartyAlias>תובעים</GroupPartyAlias>
        <IsConverted>false</IsConverted>
        <LegalEntityRegisteredNameID>5243992</LegalEntityRegisteredNameID>
        <LegalEntityNameID>96457796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אבנר אוחיון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עינב אסולין</FullName>
        <FirstName>עינב</FirstName>
        <LastName>אסולין</LastName>
        <PartyPropertyName/>
        <AuthenticationTypeAndNumber>ת"ז 065733537</AuthenticationTypeAndNumber>
        <RepresentatedOrRepresentativesNames>אריאל יום טוביאן</RepresentatedOrRepresentativesNames>
        <RepresentatedOrRepresentativesCount>1</RepresentatedOrRepresentativesCount>
        <InvitedBy/>
        <CaseID>81164348</CaseID>
        <CaseJudicialPersonPresentationDS>
          <CaseJudicalPersonActive>
            <CaseID>81164348</CaseID>
            <JudicialPersonID>056479827@GOV.IL</JudicialPersonID>
            <JudicialPersonTypeID>1</JudicialPersonTypeID>
            <JudicialTypeID>1</JudicialTypeID>
            <IsChairman>false</IsChairman>
            <TreatmentStartDate>2024-05-19T15:34:44.003+03:00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269192145</CasePartyID>
        <PartyTypeID>1</PartyTypeID>
        <ActivityStatusID>1</ActivityStatusID>
        <PartyAliasID>2</PartyAliasID>
        <PartyAliasName>נתבע</PartyAliasName>
        <OrdinalNumber>1</OrdinalNumber>
        <LegalEntityID>75196393</LegalEntityID>
        <CaseLegalEntityID>128587097</CaseLegalEntityID>
        <AuthenticationTypeID>1</AuthenticationTypeID>
        <AuthenticationTypeName>ת"ז</AuthenticationTypeName>
        <LegalEntityNumber>065733537</LegalEntityNumber>
        <IsMainPartyType>true</IsMainPartyType>
        <CaseDisplayIdentifier>40857-04-24</CaseDisplayIdentifier>
        <CaseTypeID>1</CaseTypeID>
        <CaseTypeName>תיק אזרחי בסדר דין רגיל (ת"א)</CaseTypeName>
        <CaseName>אוחיון נ' אסולין</CaseName>
        <FullAddress>סמטת הלוטם 14 ב' רמת ישי </FullAddress>
        <MotionID>0</MotionID>
        <CasePleaID>0</CasePleaID>
        <FatherName>בנימין</FatherName>
        <LinkedCaseID>0</LinkedCaseID>
        <PartyID>2</PartyID>
        <CasePartyCategoryID>2</CasePartyCategoryID>
        <LegalEntityAddressID>89212601</LegalEntityAddressID>
        <PleaTypeID>4</PleaTypeID>
        <GroupPartyAlias>נתבעים</GroupPartyAlias>
        <IsConverted>false</IsConverted>
        <LegalEntityRegisteredNameID>9310719</LegalEntityRegisteredNameID>
        <LegalEntityNameID>96457798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עינב אסולין</PublicationProhibitedFullName>
      </CaseParties>
    </CasePartiesSelectionDS>
    <CaseName>אוחיון נ' אסולין</CaseName>
    <CaseDisplayIdentifier>40857-04-24</CaseDisplayIdentifier>
    <CaseInterestID>3</CaseInterestID>
    <CaseTypeShortName>ת"א</CaseTypeShortName>
  </dt_DecisionCase>
  <dt_DecisionJudgePanel>
    <JudgeID>056479827@GOV.IL</JudgeID>
    <DisplayName>חננאל שרעבי</DisplayName>
    <RoleName>שופט</RoleName>
    <UserTitleName>שופט</UserTitleName>
  </dt_DecisionJudgePanel>
  <dt_LegalEntityDetails>
    <Fax>04-8538740</Fax>
    <Phone>04-8530853</Phone>
    <PartyID>2</PartyID>
    <PartyTypeID>2</PartyTypeID>
    <DecisionID>0</DecisionID>
    <StreetName>פל ים 5</StreetName>
    <ZipCode>3309508</ZipCode>
    <CityName>חיפה</CityName>
    <FullName>אריאל יום טוביאן</FullName>
    <Email>arielyot@gmail.com</Email>
    <IsPublicationProhibited>false</IsPublicationProhibited>
  </dt_LegalEntityDetails>
  <dt_LegalEntityDetails>
    <AddressDesc>חיפה</AddressDesc>
    <PartyID>1</PartyID>
    <PartyTypeID>1</PartyTypeID>
    <DecisionID>0</DecisionID>
    <StreetName>רח' הארזים 18</StreetName>
    <CityName>קריית חיים </CityName>
    <FullName>אבנר אוחיון</FullName>
    <IsPublicationProhibited>false</IsPublicationProhibited>
  </dt_LegalEntityDetails>
  <dt_LegalEntityDetails>
    <PartyID>2</PartyID>
    <PartyTypeID>1</PartyTypeID>
    <DecisionID>0</DecisionID>
    <StreetName>סמטת הלוטם 14 ב'</StreetName>
    <CityName>רמת ישי</CityName>
    <FullName>עינב אסולין</FullName>
    <IsPublicationProhibited>false</IsPublicationProhibited>
  </dt_LegalEntityDetails>
  <dt_CaseJudicalPersonActive>
    <CaseJudicalPerson>שופט חננאל שרעבי</CaseJudicalPerson>
  </dt_CaseJudicalPersonActive>
  <dt_Sitting>
    <PreviousMeetingDate>2024-10-07T11:30:00+03:00</PreviousMeetingDate>
    <PreviousSittingTypeID>1</PreviousSittingTypeID>
    <PreviousMeetingDisplayName>שופט חננאל שרעבי</PreviousMeetingDisplayName>
    <PreviousMeetingRoleName>שופט</PreviousMeetingRoleName>
    <PreviousMeetingUserTitleName>שופט</PreviousMeetingUserTitleName>
    <PreviousMeetingUserUPN>056479827@GOV.IL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06CB0-CCE0-4FED-B25B-5D7DB9B8413E}">
  <ds:schemaRefs/>
</ds:datastoreItem>
</file>

<file path=customXml/itemProps2.xml><?xml version="1.0" encoding="utf-8"?>
<ds:datastoreItem xmlns:ds="http://schemas.openxmlformats.org/officeDocument/2006/customXml" ds:itemID="{13BA0F27-B584-42C7-BF77-409C72CAF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1358</Words>
  <Characters>6794</Characters>
  <Application>Microsoft Office Word</Application>
  <DocSecurity>0</DocSecurity>
  <Lines>56</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2024-10-15T06:05:00Z</dcterms:created>
  <dcterms:modified xsi:type="dcterms:W3CDTF">2024-10-15T06:05:00Z</dcterms:modified>
</cp:coreProperties>
</file>